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0" w:rsidRPr="00AE66C8" w:rsidRDefault="006B2960" w:rsidP="006B2960">
      <w:pPr>
        <w:jc w:val="right"/>
      </w:pPr>
      <w:r>
        <w:rPr>
          <w:i/>
          <w:u w:val="single"/>
        </w:rPr>
        <w:t>Melléklet</w:t>
      </w:r>
    </w:p>
    <w:p w:rsidR="00DB064C" w:rsidRDefault="00DB064C" w:rsidP="00DB064C">
      <w:pPr>
        <w:jc w:val="center"/>
      </w:pPr>
      <w:r>
        <w:t>Együtt élők közötti lelki bántalmazás</w:t>
      </w:r>
    </w:p>
    <w:p w:rsidR="00DB064C" w:rsidRDefault="00DB064C" w:rsidP="00DB064C">
      <w:pPr>
        <w:jc w:val="both"/>
      </w:pPr>
    </w:p>
    <w:p w:rsidR="00DB064C" w:rsidRPr="003A6E12" w:rsidRDefault="003A6E12" w:rsidP="003A6E12">
      <w:pPr>
        <w:pStyle w:val="Listaszerbekezds"/>
        <w:ind w:left="0"/>
        <w:jc w:val="center"/>
        <w:rPr>
          <w:b/>
        </w:rPr>
      </w:pPr>
      <w:r w:rsidRPr="003A6E12">
        <w:rPr>
          <w:b/>
        </w:rPr>
        <w:t xml:space="preserve">… </w:t>
      </w:r>
      <w:r w:rsidR="00E44934" w:rsidRPr="003A6E12">
        <w:rPr>
          <w:b/>
        </w:rPr>
        <w:t>§</w:t>
      </w:r>
    </w:p>
    <w:p w:rsidR="00DB064C" w:rsidRDefault="00DB064C" w:rsidP="00DB064C">
      <w:pPr>
        <w:jc w:val="both"/>
      </w:pPr>
    </w:p>
    <w:p w:rsidR="00DB064C" w:rsidRDefault="00DB064C" w:rsidP="00DB064C">
      <w:pPr>
        <w:ind w:firstLine="708"/>
        <w:jc w:val="both"/>
      </w:pPr>
      <w:r>
        <w:t>(1) Aki azért, hogy a vele közös háztartásban vagy egy lakásban élő</w:t>
      </w:r>
    </w:p>
    <w:p w:rsidR="00DB064C" w:rsidRDefault="00DB064C" w:rsidP="00DB064C">
      <w:pPr>
        <w:ind w:firstLine="708"/>
        <w:jc w:val="both"/>
      </w:pPr>
    </w:p>
    <w:p w:rsidR="00DB064C" w:rsidRDefault="00DB064C" w:rsidP="00DB064C">
      <w:pPr>
        <w:jc w:val="both"/>
      </w:pPr>
      <w:r>
        <w:rPr>
          <w:i/>
          <w:iCs/>
        </w:rPr>
        <w:t>a)</w:t>
      </w:r>
      <w:r>
        <w:t xml:space="preserve"> házastársa, volt házastársa,</w:t>
      </w:r>
    </w:p>
    <w:p w:rsidR="00DB064C" w:rsidRDefault="00DB064C" w:rsidP="00DB064C">
      <w:pPr>
        <w:jc w:val="both"/>
      </w:pPr>
      <w:r>
        <w:rPr>
          <w:i/>
          <w:iCs/>
        </w:rPr>
        <w:t>b)</w:t>
      </w:r>
      <w:r>
        <w:t xml:space="preserve"> élettársa, volt élettársa,</w:t>
      </w:r>
    </w:p>
    <w:p w:rsidR="00DB064C" w:rsidRDefault="00DB064C" w:rsidP="00DB064C">
      <w:pPr>
        <w:jc w:val="both"/>
      </w:pPr>
      <w:r>
        <w:rPr>
          <w:i/>
          <w:iCs/>
        </w:rPr>
        <w:t>c)</w:t>
      </w:r>
      <w:r>
        <w:t xml:space="preserve"> egyeneságbeli rokona,</w:t>
      </w:r>
    </w:p>
    <w:p w:rsidR="00DB064C" w:rsidRDefault="00DB064C" w:rsidP="00DB064C">
      <w:pPr>
        <w:jc w:val="both"/>
      </w:pPr>
      <w:r>
        <w:rPr>
          <w:i/>
          <w:iCs/>
        </w:rPr>
        <w:t>d)</w:t>
      </w:r>
      <w:r>
        <w:t xml:space="preserve"> nevelése, felügyelete vagy gondozása alatt álló kiskorú, illetve</w:t>
      </w:r>
    </w:p>
    <w:p w:rsidR="00DB064C" w:rsidRDefault="00DB064C" w:rsidP="00DB064C">
      <w:pPr>
        <w:jc w:val="both"/>
      </w:pPr>
      <w:r>
        <w:rPr>
          <w:i/>
          <w:iCs/>
        </w:rPr>
        <w:t>e)</w:t>
      </w:r>
      <w:r>
        <w:t xml:space="preserve"> őt nevelő, felügyelő vagy gondozó személy</w:t>
      </w:r>
    </w:p>
    <w:p w:rsidR="00DB064C" w:rsidRDefault="00DB064C" w:rsidP="00DB064C">
      <w:pPr>
        <w:jc w:val="both"/>
      </w:pPr>
    </w:p>
    <w:p w:rsidR="00DB064C" w:rsidRDefault="00DB064C" w:rsidP="00DB064C">
      <w:pPr>
        <w:jc w:val="both"/>
      </w:pPr>
      <w:r>
        <w:t>valamit tegyen, ne tegyen, vagy eltűrjön, rendszeresen vagy tartósan olyan erőszakos magatartást tanúsít, amely a sértettnek lelki szenvedést okoz, ha más bűncselekmény nem valósul meg, vétség miatt egy évig terjedő szabadságvesztéssel büntetendő.</w:t>
      </w:r>
    </w:p>
    <w:p w:rsidR="00DB064C" w:rsidRDefault="00DB064C" w:rsidP="00DB064C">
      <w:pPr>
        <w:ind w:firstLine="708"/>
        <w:jc w:val="both"/>
      </w:pPr>
    </w:p>
    <w:p w:rsidR="00DB064C" w:rsidRDefault="00DB064C" w:rsidP="00DB064C">
      <w:pPr>
        <w:ind w:firstLine="708"/>
        <w:jc w:val="both"/>
      </w:pPr>
      <w:r>
        <w:t>(2) Az (1) bekezdésben meghatározott bűncselekmény csak magánindítványra büntethető.</w:t>
      </w:r>
    </w:p>
    <w:p w:rsidR="002E4E7A" w:rsidRDefault="002E4E7A"/>
    <w:p w:rsidR="00DB064C" w:rsidRDefault="00DB064C"/>
    <w:p w:rsidR="00DB064C" w:rsidRPr="00265BDB" w:rsidRDefault="003A6E12" w:rsidP="00DB064C">
      <w:pPr>
        <w:jc w:val="center"/>
        <w:rPr>
          <w:i/>
        </w:rPr>
      </w:pPr>
      <w:r>
        <w:rPr>
          <w:i/>
        </w:rPr>
        <w:t>Indokolás</w:t>
      </w:r>
    </w:p>
    <w:p w:rsidR="00DB064C" w:rsidRDefault="00DB064C" w:rsidP="00DB064C">
      <w:pPr>
        <w:jc w:val="both"/>
      </w:pPr>
    </w:p>
    <w:p w:rsidR="00DB064C" w:rsidRDefault="00DB064C" w:rsidP="00DB064C">
      <w:pPr>
        <w:ind w:firstLine="708"/>
        <w:jc w:val="both"/>
      </w:pPr>
      <w:r w:rsidRPr="00253052">
        <w:t>A</w:t>
      </w:r>
      <w:r>
        <w:t xml:space="preserve"> Javaslat új tényállásként megállapítja az együtt élők közötti lelki</w:t>
      </w:r>
      <w:r w:rsidRPr="00253052">
        <w:t xml:space="preserve"> </w:t>
      </w:r>
      <w:r>
        <w:t>bántalmazást mint a családon belüli erőszak elleni hatékonyabb fellépés eszközét.</w:t>
      </w:r>
      <w:r w:rsidRPr="00FE39FA">
        <w:t xml:space="preserve"> </w:t>
      </w:r>
      <w:r>
        <w:t>A „</w:t>
      </w:r>
      <w:r w:rsidRPr="00253052">
        <w:t xml:space="preserve">családon belüli erőszak” </w:t>
      </w:r>
      <w:r>
        <w:t xml:space="preserve">alapvetően </w:t>
      </w:r>
      <w:r w:rsidRPr="00253052">
        <w:t>egy kriminológiai fogalom, az e körbe vonható cselekmények igen széles skálán mozognak, kezdve a becsületsért</w:t>
      </w:r>
      <w:r>
        <w:t xml:space="preserve">és szabálysértési tényállástól </w:t>
      </w:r>
      <w:r w:rsidRPr="00253052">
        <w:t>egészen az akár többszöröse</w:t>
      </w:r>
      <w:r>
        <w:t>n minősülő emberölés bűntettéig</w:t>
      </w:r>
      <w:r w:rsidRPr="00253052">
        <w:t xml:space="preserve">. </w:t>
      </w:r>
      <w:r>
        <w:t>Az új bűncselekmény ebbe a széles spektrumú elkövetési körbe illeszkedik úgy, hogy a jelenleg is büntetendő cselekmények mellett kisegítő jelleggel lesz alkalmazható (ha tehát más bűncselekmény nem valósult meg).</w:t>
      </w:r>
    </w:p>
    <w:p w:rsidR="00DB064C" w:rsidRDefault="00DB064C" w:rsidP="00DB064C">
      <w:pPr>
        <w:jc w:val="both"/>
      </w:pPr>
    </w:p>
    <w:p w:rsidR="00DB064C" w:rsidRDefault="00DB064C" w:rsidP="00DB064C">
      <w:pPr>
        <w:ind w:firstLine="708"/>
        <w:jc w:val="both"/>
      </w:pPr>
      <w:r>
        <w:t>Megemlítendő, hogy a családon belüli erőszak megelőzését a már meglévő büntetőjogi tényállások mellett az alábbi rendelkezések is segítik.</w:t>
      </w:r>
    </w:p>
    <w:p w:rsidR="00DB064C" w:rsidRDefault="00DB064C" w:rsidP="00DB064C">
      <w:pPr>
        <w:ind w:firstLine="708"/>
        <w:jc w:val="both"/>
      </w:pPr>
    </w:p>
    <w:p w:rsidR="00DB064C" w:rsidRPr="00253052" w:rsidRDefault="00DB064C" w:rsidP="00DB064C">
      <w:pPr>
        <w:ind w:firstLine="708"/>
        <w:jc w:val="both"/>
      </w:pPr>
      <w:r w:rsidRPr="00886153">
        <w:rPr>
          <w:b/>
        </w:rPr>
        <w:t>1.</w:t>
      </w:r>
      <w:r>
        <w:t xml:space="preserve"> Az Országgyűlés </w:t>
      </w:r>
      <w:r w:rsidRPr="00253052">
        <w:t>2005. július 4-én fogadta el a</w:t>
      </w:r>
      <w:r>
        <w:t>zt a Btk.-</w:t>
      </w:r>
      <w:r w:rsidRPr="00253052">
        <w:t>módosítást (2005. évi XCI. törvény), amely tartalmazza a távoltartást, mint a pártfogó felügyelet keretében megállapítható magatartási szabályt. A 2005. szeptember 1-jén hatályba lépett szabályozás szerint a bíróság, amennyiben a büntetés kiszabását próbaidőre elhalasztja, a szabadságvesztés végrehajtását próbaidőre felfüggeszti, vagy a szabadságvesztésre ítéltet feltételes szabadságra bocsátja, illetve amennyiben az ügyész a vádemelést elhalasztja, külön magatartási szabályként elrendelheti, hogy a pártfogolt a bűncselekmény sértettjétől, illetőleg annak lakásától, munkahelyétől, vagy attól a nevelési-oktatási intézménytől, ahová a sértett jár, tartsa távol magát.</w:t>
      </w:r>
      <w:r>
        <w:t xml:space="preserve"> Ezt a rendelkezést a Javaslat is átveszi.</w:t>
      </w:r>
    </w:p>
    <w:p w:rsidR="00DB064C" w:rsidRPr="00253052" w:rsidRDefault="00DB064C" w:rsidP="00DB064C">
      <w:pPr>
        <w:jc w:val="both"/>
      </w:pPr>
    </w:p>
    <w:p w:rsidR="00DB064C" w:rsidRPr="00641E36" w:rsidRDefault="00DB064C" w:rsidP="00DB064C">
      <w:pPr>
        <w:ind w:firstLine="708"/>
        <w:jc w:val="both"/>
      </w:pPr>
      <w:r w:rsidRPr="00886153">
        <w:rPr>
          <w:b/>
        </w:rPr>
        <w:t>2.</w:t>
      </w:r>
      <w:r>
        <w:t xml:space="preserve"> </w:t>
      </w:r>
      <w:r w:rsidRPr="00253052">
        <w:t>A Btk. módosítása mellett szükséges volt az is, hogy ne csak – az esetenként évekig elhúzódó – büntetőeljárás befejezését követően lehessen távoltartásról rendelkezni. Ennek érdekében a Parlament 2006. február 13-án elfogadta a Be. módosítását (2006. évi LI. törvény), a 2006. július 1-jén hatályba lépő módosítás tartalmazza a távoltartást mint büntetőeljárási kényszerintézkedést.</w:t>
      </w:r>
      <w:r>
        <w:t xml:space="preserve"> A</w:t>
      </w:r>
      <w:r w:rsidRPr="008C0FF1">
        <w:t xml:space="preserve"> büntetőeljárás során távoltartás szabadságvesztés büntetéssel büntetendő bűncselekmény megalapozott gyanúja esetén rendelhető el, ha a terhelt előzetes letartóztatásának elrendelése nem szükséges, de – különösen a bűncselekmény jellegére, a terheltnek az eljárás </w:t>
      </w:r>
      <w:r w:rsidRPr="008C0FF1">
        <w:lastRenderedPageBreak/>
        <w:t>előtt és az eljárás során tanúsított magatartására, valamint a terhelt és a sértett viszonyára tekintettel – megalapozottan feltehető, hogy a lakókörnyezetben hagyása esetén a sértett tanú befolyásolásával vagy megfélemlítésével meghiúsítaná, megnehezítené, vagy veszélyeztetné a bizonyítást, illetve a megkísérelt vagy előkészített bűncselekményt véghezvinné, vagy a sértett sérelmére újabb szabadságvesztéssel büntetendő bűncselekményt követne el.</w:t>
      </w:r>
      <w:r>
        <w:t xml:space="preserve"> E kényszerintézkedés</w:t>
      </w:r>
      <w:r w:rsidRPr="00241485">
        <w:t xml:space="preserve"> célja</w:t>
      </w:r>
      <w:r>
        <w:t xml:space="preserve"> tehát</w:t>
      </w:r>
      <w:r w:rsidRPr="00241485">
        <w:t>, hogy az eljárások elhúzódása mellett is megfelelő és gyors védelmi eszközt biztosítson a sértett részére az eljárás jogerős befejezése előtt azzal, hogy a bizonyítási eljárás sikerét elősegíti.</w:t>
      </w:r>
      <w:r>
        <w:t xml:space="preserve"> </w:t>
      </w:r>
      <w:r w:rsidRPr="00641E36">
        <w:t xml:space="preserve">Ha a terhelt a távoltartás szabályait szándékosan megszegi, és ezt utólag nem menti ki, előzetes letartóztatása rendelhető el, illetőleg </w:t>
      </w:r>
      <w:r>
        <w:t xml:space="preserve">– </w:t>
      </w:r>
      <w:r w:rsidRPr="00641E36">
        <w:t>ha</w:t>
      </w:r>
      <w:r>
        <w:t xml:space="preserve"> ez nem szükséges –</w:t>
      </w:r>
      <w:r w:rsidRPr="00641E36">
        <w:t xml:space="preserve"> rendbírsággal sújtható.</w:t>
      </w:r>
    </w:p>
    <w:p w:rsidR="00DB064C" w:rsidRDefault="00DB064C" w:rsidP="00DB064C">
      <w:pPr>
        <w:jc w:val="both"/>
      </w:pPr>
    </w:p>
    <w:p w:rsidR="00DB064C" w:rsidRDefault="00DB064C" w:rsidP="00DB064C">
      <w:pPr>
        <w:ind w:firstLine="708"/>
        <w:jc w:val="both"/>
      </w:pPr>
      <w:r>
        <w:t xml:space="preserve">Távoltartást a bíróság tíztől hatvan napig terjedő időtartamra rendelhet el. Annak </w:t>
      </w:r>
      <w:r w:rsidRPr="00D44569">
        <w:t xml:space="preserve">meghosszabbítására ugyan </w:t>
      </w:r>
      <w:r>
        <w:t>nincs</w:t>
      </w:r>
      <w:r w:rsidRPr="00D44569">
        <w:t xml:space="preserve"> lehetőség, de </w:t>
      </w:r>
      <w:r>
        <w:t xml:space="preserve">a Be. </w:t>
      </w:r>
      <w:r w:rsidRPr="00D44569">
        <w:t>nem zárja ki azt, hogy újból el lehessen rendelni. Ez esetben a bíróság ismét megvizsgálja a körülményeket</w:t>
      </w:r>
      <w:r>
        <w:t>,</w:t>
      </w:r>
      <w:r w:rsidRPr="00D44569">
        <w:t xml:space="preserve"> és dönt arról, hogy távoltartás elrendelése indokolt-e, vagy esetleg súlyosabb intézkedésre van szükség, ez esetben például előzetes letartóztatást is elrendelhet.</w:t>
      </w:r>
    </w:p>
    <w:p w:rsidR="00DB064C" w:rsidRDefault="00DB064C" w:rsidP="00DB064C">
      <w:pPr>
        <w:jc w:val="both"/>
      </w:pPr>
    </w:p>
    <w:p w:rsidR="00DB064C" w:rsidRPr="00C70F9F" w:rsidRDefault="00DB064C" w:rsidP="00DB064C">
      <w:pPr>
        <w:jc w:val="both"/>
      </w:pPr>
      <w:r>
        <w:tab/>
      </w:r>
      <w:r w:rsidRPr="00886153">
        <w:rPr>
          <w:b/>
        </w:rPr>
        <w:t>3.</w:t>
      </w:r>
      <w:r>
        <w:t xml:space="preserve"> A fenti szabályok hatályba lépését követően a gyakorlati tapasztalatok további fellépést tettek indokolttá a családon belüli erőszak jelensége ellen, ezért az említett rendelkezéseket kiegészítve elfogadásra került </w:t>
      </w:r>
      <w:r w:rsidRPr="00C70F9F">
        <w:t>a hozzátartozók közötti erőszak miatt alkalmazható távoltartásról</w:t>
      </w:r>
      <w:r>
        <w:t xml:space="preserve"> szóló 2009. évi LXXII. törvény (a továbbiakban: 2009. évi LXXII. törvény). Ennek rendeltetése, hogy </w:t>
      </w:r>
      <w:r w:rsidRPr="00C70F9F">
        <w:t>még azt megelőzően kezelje a családon belüli erőszak jelenségét, mielőtt egy súlyosabb helyzet, a sokszor helyrehozhatatlan következményekkel járó bűncselekmény bekövetkezne.</w:t>
      </w:r>
      <w:r>
        <w:t xml:space="preserve"> </w:t>
      </w:r>
    </w:p>
    <w:p w:rsidR="00DB064C" w:rsidRDefault="00DB064C" w:rsidP="00DB064C">
      <w:pPr>
        <w:jc w:val="both"/>
      </w:pPr>
    </w:p>
    <w:p w:rsidR="00DB064C" w:rsidRPr="00185729" w:rsidRDefault="00DB064C" w:rsidP="00DB064C">
      <w:pPr>
        <w:ind w:firstLine="708"/>
        <w:jc w:val="both"/>
      </w:pPr>
      <w:r>
        <w:t>A 2009. évi LXXII. törvény</w:t>
      </w:r>
      <w:r w:rsidRPr="00D44569">
        <w:rPr>
          <w:bCs/>
        </w:rPr>
        <w:t xml:space="preserve"> szerint </w:t>
      </w:r>
      <w:r>
        <w:rPr>
          <w:bCs/>
        </w:rPr>
        <w:t>h</w:t>
      </w:r>
      <w:r w:rsidRPr="00D44569">
        <w:t>ozzátartozók közötti erőszaknak minősül</w:t>
      </w:r>
      <w:r w:rsidRPr="00D44569">
        <w:rPr>
          <w:i/>
          <w:iCs/>
        </w:rPr>
        <w:t xml:space="preserve"> </w:t>
      </w:r>
      <w:r w:rsidRPr="00D44569">
        <w:t>a méltóságot, az életet, a szexuális önrendelkezéshez való jogot, továbbá a testi és lelki egészséget súlyosan és közvet</w:t>
      </w:r>
      <w:r>
        <w:t xml:space="preserve">lenül veszélyeztető tevékenység vagy – a </w:t>
      </w:r>
      <w:r w:rsidRPr="00D44569">
        <w:t>szexuális önrendelkezéshez való jogot</w:t>
      </w:r>
      <w:r>
        <w:t xml:space="preserve"> kivéve – mulasztás. Hozzátartozónak minősülnek a következők: a </w:t>
      </w:r>
      <w:r w:rsidRPr="00185729">
        <w:t xml:space="preserve">házastárs, a bejegyzett élettárs, az egyeneságbeli rokon, az örökbefogadott, a mostoha- és neveltgyermek, az örökbefogadó-, a mostoha- és a </w:t>
      </w:r>
      <w:r>
        <w:t>nevelőszülő, valamint a testvér,</w:t>
      </w:r>
      <w:r w:rsidRPr="00185729">
        <w:t xml:space="preserve"> az élettárs, az egyeneságbeli rokon házastársa, bejegyzett élettársa, a jegyes, a házastárs, a bejegyzett élettárs egyeneságbeli rokona és testvére, valamint a testvér h</w:t>
      </w:r>
      <w:r>
        <w:t>ázastársa, bejegyzett élettársa, a volt házastárs, a volt bejegyzett élettárs, a gondnok, a gondnokolt, a gyám, a gyámolt.</w:t>
      </w:r>
    </w:p>
    <w:p w:rsidR="00DB064C" w:rsidRDefault="00DB064C" w:rsidP="00DB064C">
      <w:pPr>
        <w:jc w:val="both"/>
      </w:pPr>
    </w:p>
    <w:p w:rsidR="00DB064C" w:rsidRPr="00185729" w:rsidRDefault="00DB064C" w:rsidP="00DB064C">
      <w:pPr>
        <w:jc w:val="both"/>
      </w:pPr>
      <w:r>
        <w:tab/>
        <w:t>A 2009. évi LXXII. törvény prevenciós céllal</w:t>
      </w:r>
      <w:r w:rsidRPr="00185729">
        <w:rPr>
          <w:bCs/>
          <w:iCs/>
        </w:rPr>
        <w:t xml:space="preserve"> jelzési kötelezettség</w:t>
      </w:r>
      <w:r>
        <w:rPr>
          <w:bCs/>
          <w:iCs/>
        </w:rPr>
        <w:t>et ír elő a</w:t>
      </w:r>
      <w:r w:rsidRPr="00185729">
        <w:rPr>
          <w:bCs/>
          <w:iCs/>
        </w:rPr>
        <w:t xml:space="preserve"> hozzátartozók közötti erőszak megelőzésé</w:t>
      </w:r>
      <w:r>
        <w:rPr>
          <w:bCs/>
          <w:iCs/>
        </w:rPr>
        <w:t>hez kapcsolódó</w:t>
      </w:r>
      <w:r w:rsidRPr="00185729">
        <w:rPr>
          <w:bCs/>
          <w:iCs/>
        </w:rPr>
        <w:t xml:space="preserve"> </w:t>
      </w:r>
      <w:r>
        <w:rPr>
          <w:bCs/>
          <w:iCs/>
        </w:rPr>
        <w:t>feladatot ellátó</w:t>
      </w:r>
      <w:r w:rsidRPr="00185729">
        <w:rPr>
          <w:bCs/>
          <w:iCs/>
        </w:rPr>
        <w:t xml:space="preserve"> intézmény</w:t>
      </w:r>
      <w:r>
        <w:rPr>
          <w:bCs/>
          <w:iCs/>
        </w:rPr>
        <w:t>ek (pl. közoktatási intézmények, gyámhatóság) számára.</w:t>
      </w:r>
    </w:p>
    <w:p w:rsidR="00DB064C" w:rsidRDefault="00DB064C" w:rsidP="00DB064C">
      <w:pPr>
        <w:jc w:val="both"/>
      </w:pPr>
    </w:p>
    <w:p w:rsidR="00DB064C" w:rsidRDefault="00DB064C" w:rsidP="00DB064C">
      <w:pPr>
        <w:ind w:firstLine="708"/>
        <w:jc w:val="both"/>
      </w:pPr>
      <w:r>
        <w:t xml:space="preserve">A 2009. évi LXXII. törvény alapján – </w:t>
      </w:r>
      <w:r w:rsidRPr="00D44569">
        <w:t>h</w:t>
      </w:r>
      <w:r>
        <w:t xml:space="preserve">a az eset összes körülményéből </w:t>
      </w:r>
      <w:r w:rsidRPr="00D44569">
        <w:t xml:space="preserve">a hozzátartozók közötti erőszak elkövetésére megalapozottan lehet következtetni </w:t>
      </w:r>
      <w:r>
        <w:t xml:space="preserve">– a rendőrség ideiglenes megelőző távoltartást, míg a bíróság megelőző távoltartást rendelhet el, előbbit legfeljebb hetvenkét óra, utóbbit </w:t>
      </w:r>
      <w:r w:rsidRPr="00D44569">
        <w:t>harminc napra</w:t>
      </w:r>
      <w:r>
        <w:t xml:space="preserve">. </w:t>
      </w:r>
      <w:r w:rsidRPr="007B0FC5">
        <w:t>Az ideiglenes megelőző és megelőző távoltartás lényege, hogy a határozat alapján a bántalmazó köteles elhagyni a bántalmazottal közösen használt ingatlant, és oda a határozatban meghatározottmeg</w:t>
      </w:r>
      <w:r>
        <w:t>jelölt</w:t>
      </w:r>
      <w:r w:rsidRPr="007B0FC5">
        <w:t xml:space="preserve"> ideig nem térhet vissza. </w:t>
      </w:r>
      <w:r>
        <w:t>A t</w:t>
      </w:r>
      <w:r w:rsidRPr="00017891">
        <w:t>ávoltartó határozat szabályainak megszegése</w:t>
      </w:r>
      <w:r>
        <w:t xml:space="preserve"> elzárással is sújtható szabálysértést jelent.</w:t>
      </w:r>
    </w:p>
    <w:p w:rsidR="00DB064C" w:rsidRDefault="00DB064C" w:rsidP="00DB064C">
      <w:pPr>
        <w:jc w:val="both"/>
      </w:pPr>
    </w:p>
    <w:p w:rsidR="00DB064C" w:rsidRDefault="00DB064C" w:rsidP="00DB064C">
      <w:pPr>
        <w:jc w:val="both"/>
      </w:pPr>
      <w:r>
        <w:tab/>
        <w:t>Az új tényállás tehát a fenti, már működő intézményrendszer, illetve a már jelenleg is üldözendő bűncselekmények mellett újabb eszközt kíván adni a sértettek kezébe.</w:t>
      </w:r>
    </w:p>
    <w:p w:rsidR="00DB064C" w:rsidRDefault="00DB064C" w:rsidP="00DB064C">
      <w:pPr>
        <w:jc w:val="both"/>
      </w:pPr>
    </w:p>
    <w:p w:rsidR="00DB064C" w:rsidRDefault="00DB064C" w:rsidP="00DB064C">
      <w:pPr>
        <w:ind w:firstLine="708"/>
        <w:jc w:val="both"/>
      </w:pPr>
      <w:r w:rsidRPr="0048546A">
        <w:lastRenderedPageBreak/>
        <w:t>A</w:t>
      </w:r>
      <w:r>
        <w:t>z együtt élők közötti lelki</w:t>
      </w:r>
      <w:r w:rsidRPr="0048546A">
        <w:t xml:space="preserve"> bántalmazás elkövetési magatartás</w:t>
      </w:r>
      <w:r>
        <w:t>a</w:t>
      </w:r>
      <w:r w:rsidRPr="0048546A">
        <w:t xml:space="preserve"> </w:t>
      </w:r>
      <w:r>
        <w:t>erőszakos, erre vonatkozóan a Javaslat Záró Részében található definíció ad iránymutatást. Az erőszakos magatartás irányulhat személy vagy dolog ellen is, a személy elleni erőszakos magatartáshoz nem szükséges a tettlegesség, az megvalósulhat már támadó jellegű fellépéssel is. A</w:t>
      </w:r>
      <w:r w:rsidRPr="0048546A">
        <w:t>hhoz azonban, hogy a cselekmény tényállásszerű legyen, azt rendszeresen (rövid időközönként) vagy tartósan (huzamosabb ide</w:t>
      </w:r>
      <w:r>
        <w:t>ig) kell kifejteni, tanúsítani.</w:t>
      </w:r>
    </w:p>
    <w:p w:rsidR="00DB064C" w:rsidRDefault="00DB064C" w:rsidP="00DB064C">
      <w:pPr>
        <w:ind w:firstLine="708"/>
        <w:jc w:val="both"/>
      </w:pPr>
    </w:p>
    <w:p w:rsidR="00DB064C" w:rsidRDefault="00DB064C" w:rsidP="00DB064C">
      <w:pPr>
        <w:ind w:firstLine="708"/>
        <w:jc w:val="both"/>
      </w:pPr>
      <w:r w:rsidRPr="0048546A">
        <w:t>A bűncselekmény célzatos (a</w:t>
      </w:r>
      <w:r>
        <w:t xml:space="preserve"> közös háztartásban vagy egy lakásban élő</w:t>
      </w:r>
      <w:r w:rsidRPr="0048546A">
        <w:t xml:space="preserve"> házastárs, a volt házastárs, az élettárs, a volt élettárs, </w:t>
      </w:r>
      <w:r>
        <w:t>egyeneságbeli rokon, stb.</w:t>
      </w:r>
      <w:r w:rsidRPr="0048546A">
        <w:t xml:space="preserve"> valamit tegyen, ne tegyen, vagy eltűrjön), és eredmény-bűncselekmény (lelki szenvedés). A </w:t>
      </w:r>
      <w:r>
        <w:t xml:space="preserve">tényállás nem a lelki sérülést kívánja meg eredményként, hanem a </w:t>
      </w:r>
      <w:r w:rsidRPr="0048546A">
        <w:t>lelki szenvedés</w:t>
      </w:r>
      <w:r>
        <w:t>t, ezzel is kifejezésre juttatja, hogy nem egyszeri elkövetésről van szó, hanem folyamatos, hosszabb ideje kifejtett magatartásról (pl. verbális megalázás, gyötrés).</w:t>
      </w:r>
      <w:r w:rsidRPr="0048546A">
        <w:t xml:space="preserve"> </w:t>
      </w:r>
      <w:r>
        <w:t xml:space="preserve">A tényállás a pszichikai bántalmazás ellen nyújt védelmet, a tettleges bántalmazást a hatályos Btk. és a Javaslat egyéb tényállásai lefedik. A lelki szenvedés </w:t>
      </w:r>
      <w:r w:rsidRPr="0048546A">
        <w:t>tünete lehet pl. a szorongás, stressz, alvásképtelenség, gyomorgörcs.</w:t>
      </w:r>
      <w:r>
        <w:t xml:space="preserve"> </w:t>
      </w:r>
    </w:p>
    <w:p w:rsidR="00DB064C" w:rsidRDefault="00DB064C" w:rsidP="00DB064C">
      <w:pPr>
        <w:jc w:val="both"/>
      </w:pPr>
    </w:p>
    <w:p w:rsidR="00DB064C" w:rsidRDefault="00DB064C" w:rsidP="00DB064C">
      <w:pPr>
        <w:jc w:val="both"/>
      </w:pPr>
      <w:r>
        <w:tab/>
        <w:t>A bűncselekmény csak bizonyos együttélési formák esetén valósulhat meg, így ha</w:t>
      </w:r>
    </w:p>
    <w:p w:rsidR="00DB064C" w:rsidRDefault="00DB064C" w:rsidP="00DB064C">
      <w:pPr>
        <w:jc w:val="both"/>
      </w:pPr>
    </w:p>
    <w:p w:rsidR="00DB064C" w:rsidRDefault="00DB064C" w:rsidP="00DB064C">
      <w:pPr>
        <w:jc w:val="both"/>
      </w:pPr>
      <w:r w:rsidRPr="00BB0196">
        <w:rPr>
          <w:i/>
        </w:rPr>
        <w:t>a)</w:t>
      </w:r>
      <w:r>
        <w:t xml:space="preserve"> házastársak, élettársak, volt házastársak vagy élettársak,</w:t>
      </w:r>
    </w:p>
    <w:p w:rsidR="00DB064C" w:rsidRDefault="00DB064C" w:rsidP="00DB064C">
      <w:pPr>
        <w:jc w:val="both"/>
      </w:pPr>
      <w:r w:rsidRPr="00BB0196">
        <w:rPr>
          <w:i/>
        </w:rPr>
        <w:t>b)</w:t>
      </w:r>
      <w:r>
        <w:t xml:space="preserve"> egyenesági rokonok,</w:t>
      </w:r>
    </w:p>
    <w:p w:rsidR="00DB064C" w:rsidRDefault="00DB064C" w:rsidP="00DB064C">
      <w:pPr>
        <w:jc w:val="both"/>
      </w:pPr>
      <w:r w:rsidRPr="00BB0196">
        <w:rPr>
          <w:i/>
        </w:rPr>
        <w:t>c)</w:t>
      </w:r>
      <w:r>
        <w:t xml:space="preserve"> nevelő szülő, nevelt gyermek, mostohaszülő, mostohagyermek, stb.</w:t>
      </w:r>
    </w:p>
    <w:p w:rsidR="00DB064C" w:rsidRDefault="00DB064C" w:rsidP="00DB064C">
      <w:pPr>
        <w:jc w:val="both"/>
      </w:pPr>
    </w:p>
    <w:p w:rsidR="00DB064C" w:rsidRDefault="00DB064C" w:rsidP="00DB064C">
      <w:pPr>
        <w:jc w:val="both"/>
      </w:pPr>
      <w:r>
        <w:t xml:space="preserve">közös háztartásban vagy egy lakásban élnek. </w:t>
      </w:r>
      <w:r w:rsidRPr="00C26813">
        <w:t xml:space="preserve">Ez az élethelyzet (együttélés) a zaklatáshoz képest speciális, ez indokolja a külön tényállásba foglalást is. A specialitásból következik, hogy amennyiben a zaklatás valamely fordulata </w:t>
      </w:r>
      <w:r>
        <w:t xml:space="preserve">(vagy akár a kiskorú veszélyeztetése) </w:t>
      </w:r>
      <w:r w:rsidRPr="00C26813">
        <w:t>megvalósul, az együtt élők közötti lelki bántalmazás nem állapítható meg.</w:t>
      </w:r>
    </w:p>
    <w:p w:rsidR="00DB064C" w:rsidRDefault="00DB064C" w:rsidP="00DB064C">
      <w:pPr>
        <w:jc w:val="both"/>
      </w:pPr>
    </w:p>
    <w:p w:rsidR="00DB064C" w:rsidRDefault="00DB064C" w:rsidP="00DB064C">
      <w:pPr>
        <w:jc w:val="both"/>
      </w:pPr>
      <w:r>
        <w:tab/>
        <w:t xml:space="preserve">A Javaslat a büntetőeljárás megindítását e bűncselekmény esetén magánindítványhoz köti. Ezt elsődlegesen a sértett kímélete indokolja, ugyanakkor azt sem lehet figyelmen kívül hagyni, hogy – az elkövetési magatartás jellegére, az elkövetés körülményeire tekintettel – a bűncselekmény megállapíthatóságához elengedhetetlen a sértett hatósággal való együttműködése. </w:t>
      </w:r>
      <w:r w:rsidRPr="00865BCB">
        <w:t>Az állam csak abban az esetben tud segítséget nyújtani, ha a bántalmazottak azt kérik</w:t>
      </w:r>
      <w:r>
        <w:t>, jelzik</w:t>
      </w:r>
      <w:r w:rsidRPr="00865BCB">
        <w:t>.</w:t>
      </w:r>
    </w:p>
    <w:p w:rsidR="00DB064C" w:rsidRDefault="00DB064C"/>
    <w:sectPr w:rsidR="00DB064C" w:rsidSect="00965FA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32" w:rsidRDefault="00C06132" w:rsidP="00196EFD">
      <w:r>
        <w:separator/>
      </w:r>
    </w:p>
  </w:endnote>
  <w:endnote w:type="continuationSeparator" w:id="0">
    <w:p w:rsidR="00C06132" w:rsidRDefault="00C06132" w:rsidP="0019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32" w:rsidRDefault="00C06132" w:rsidP="00196EFD">
      <w:r>
        <w:separator/>
      </w:r>
    </w:p>
  </w:footnote>
  <w:footnote w:type="continuationSeparator" w:id="0">
    <w:p w:rsidR="00C06132" w:rsidRDefault="00C06132" w:rsidP="0019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34" w:rsidRPr="009C101A" w:rsidRDefault="00E44934" w:rsidP="00196EFD">
    <w:pPr>
      <w:jc w:val="center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A7A"/>
    <w:multiLevelType w:val="hybridMultilevel"/>
    <w:tmpl w:val="3C68DF90"/>
    <w:lvl w:ilvl="0" w:tplc="AFCC9F98">
      <w:start w:val="40"/>
      <w:numFmt w:val="decimal"/>
      <w:suff w:val="nothing"/>
      <w:lvlText w:val="%1. §"/>
      <w:lvlJc w:val="center"/>
      <w:pPr>
        <w:ind w:left="-141" w:firstLine="4536"/>
      </w:pPr>
      <w:rPr>
        <w:rFonts w:cs="Times New Roman"/>
        <w:b/>
        <w:i w:val="0"/>
      </w:rPr>
    </w:lvl>
    <w:lvl w:ilvl="1" w:tplc="CDA4B302">
      <w:start w:val="1"/>
      <w:numFmt w:val="decimal"/>
      <w:lvlText w:val="%2."/>
      <w:lvlJc w:val="left"/>
      <w:pPr>
        <w:tabs>
          <w:tab w:val="num" w:pos="939"/>
        </w:tabs>
        <w:ind w:left="1319" w:hanging="380"/>
      </w:pPr>
      <w:rPr>
        <w:rFonts w:cs="Times New Roman"/>
        <w:b/>
        <w:i w:val="0"/>
      </w:rPr>
    </w:lvl>
    <w:lvl w:ilvl="2" w:tplc="040E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  <w:b/>
        <w:i w:val="0"/>
      </w:rPr>
    </w:lvl>
    <w:lvl w:ilvl="4" w:tplc="040E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7FE667CA"/>
    <w:multiLevelType w:val="hybridMultilevel"/>
    <w:tmpl w:val="8D4E6342"/>
    <w:lvl w:ilvl="0" w:tplc="64160894">
      <w:start w:val="212"/>
      <w:numFmt w:val="decimal"/>
      <w:lvlText w:val="%1."/>
      <w:lvlJc w:val="left"/>
      <w:pPr>
        <w:ind w:left="481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4C"/>
    <w:rsid w:val="00103703"/>
    <w:rsid w:val="00196EFD"/>
    <w:rsid w:val="00252FD9"/>
    <w:rsid w:val="002E4E7A"/>
    <w:rsid w:val="003A6E12"/>
    <w:rsid w:val="00693FF1"/>
    <w:rsid w:val="006B2960"/>
    <w:rsid w:val="00713AB7"/>
    <w:rsid w:val="00722D81"/>
    <w:rsid w:val="008C05B8"/>
    <w:rsid w:val="00965FA0"/>
    <w:rsid w:val="00C06132"/>
    <w:rsid w:val="00C6455A"/>
    <w:rsid w:val="00DB064C"/>
    <w:rsid w:val="00E44934"/>
    <w:rsid w:val="00E5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6E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E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E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E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EF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44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és Igazságügyi Minisztérium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TothCsengeDiana</dc:creator>
  <cp:lastModifiedBy>Mersitz Tiborné</cp:lastModifiedBy>
  <cp:revision>2</cp:revision>
  <dcterms:created xsi:type="dcterms:W3CDTF">2012-09-25T15:23:00Z</dcterms:created>
  <dcterms:modified xsi:type="dcterms:W3CDTF">2012-09-25T15:23:00Z</dcterms:modified>
</cp:coreProperties>
</file>