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2E48" w:rsidRPr="00296F5C" w:rsidRDefault="004B1047">
      <w:pPr>
        <w:pStyle w:val="Langue"/>
        <w:rPr>
          <w:sz w:val="28"/>
          <w:szCs w:val="28"/>
        </w:rPr>
      </w:pPr>
      <w:r w:rsidRPr="00296F5C">
        <w:rPr>
          <w:noProof/>
          <w:sz w:val="28"/>
          <w:szCs w:val="28"/>
        </w:rPr>
        <w:t>HU</w:t>
      </w:r>
    </w:p>
    <w:p w:rsidR="001B75BC" w:rsidRPr="00296F5C" w:rsidRDefault="001B75BC" w:rsidP="001B75BC">
      <w:pPr>
        <w:rPr>
          <w:sz w:val="28"/>
          <w:szCs w:val="28"/>
        </w:rPr>
        <w:sectPr w:rsidR="001B75BC" w:rsidRPr="00296F5C" w:rsidSect="001B75B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/>
          <w:pgMar w:top="1134" w:right="1417" w:bottom="1134" w:left="1417" w:header="709" w:footer="709" w:gutter="0"/>
          <w:pgNumType w:start="0"/>
          <w:cols w:space="708"/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814"/>
        <w:gridCol w:w="7655"/>
      </w:tblGrid>
      <w:tr w:rsidR="001B75BC" w:rsidRPr="00296F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40"/>
        </w:trPr>
        <w:tc>
          <w:tcPr>
            <w:tcW w:w="1814" w:type="dxa"/>
          </w:tcPr>
          <w:p w:rsidR="001B75BC" w:rsidRPr="00296F5C" w:rsidRDefault="00850F46" w:rsidP="001B75BC">
            <w:pPr>
              <w:pStyle w:val="Nomdelinstitution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hu-HU"/>
              </w:rPr>
              <w:lastRenderedPageBreak/>
              <w:drawing>
                <wp:inline distT="0" distB="0" distL="0" distR="0">
                  <wp:extent cx="1009650" cy="676275"/>
                  <wp:effectExtent l="1905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</w:tcPr>
          <w:p w:rsidR="001B75BC" w:rsidRPr="00296F5C" w:rsidRDefault="001B75BC" w:rsidP="001B75BC">
            <w:pPr>
              <w:pStyle w:val="Nomdelinstitution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AZ EURÓPAI KÖZÖSSÉGEK BIZOTTSÁGA</w:t>
            </w:r>
          </w:p>
        </w:tc>
      </w:tr>
    </w:tbl>
    <w:p w:rsidR="001B75BC" w:rsidRPr="00296F5C" w:rsidRDefault="001B75BC" w:rsidP="001B75BC">
      <w:pPr>
        <w:pStyle w:val="Emission"/>
        <w:rPr>
          <w:sz w:val="28"/>
          <w:szCs w:val="28"/>
        </w:rPr>
      </w:pPr>
      <w:r w:rsidRPr="00296F5C">
        <w:rPr>
          <w:sz w:val="28"/>
          <w:szCs w:val="28"/>
        </w:rPr>
        <w:t>Brüsszel, 25.6.2008</w:t>
      </w:r>
    </w:p>
    <w:p w:rsidR="001B75BC" w:rsidRPr="00296F5C" w:rsidRDefault="001B75BC" w:rsidP="001B75BC">
      <w:pPr>
        <w:pStyle w:val="Rfrenceinstitutionelle"/>
        <w:rPr>
          <w:sz w:val="28"/>
          <w:szCs w:val="28"/>
        </w:rPr>
      </w:pPr>
      <w:r w:rsidRPr="00296F5C">
        <w:rPr>
          <w:sz w:val="28"/>
          <w:szCs w:val="28"/>
        </w:rPr>
        <w:t>COM(2008) 394 végleges</w:t>
      </w:r>
    </w:p>
    <w:p w:rsidR="001B75BC" w:rsidRPr="00296F5C" w:rsidRDefault="001B75BC" w:rsidP="001B75BC">
      <w:pPr>
        <w:pStyle w:val="Confidentialit"/>
        <w:rPr>
          <w:sz w:val="28"/>
          <w:szCs w:val="28"/>
        </w:rPr>
      </w:pPr>
      <w:r w:rsidRPr="00296F5C">
        <w:rPr>
          <w:sz w:val="28"/>
          <w:szCs w:val="28"/>
        </w:rPr>
        <w:fldChar w:fldCharType="begin"/>
      </w:r>
      <w:r w:rsidRPr="00296F5C">
        <w:rPr>
          <w:sz w:val="28"/>
          <w:szCs w:val="28"/>
        </w:rPr>
        <w:instrText xml:space="preserve"> DOCPROPERTY "Classification" </w:instrText>
      </w:r>
      <w:r w:rsidRPr="00296F5C">
        <w:rPr>
          <w:sz w:val="28"/>
          <w:szCs w:val="28"/>
        </w:rPr>
        <w:fldChar w:fldCharType="separate"/>
      </w:r>
      <w:r w:rsidRPr="00296F5C">
        <w:rPr>
          <w:sz w:val="28"/>
          <w:szCs w:val="28"/>
        </w:rPr>
        <w:t xml:space="preserve"> </w:t>
      </w:r>
      <w:r w:rsidRPr="00296F5C">
        <w:rPr>
          <w:sz w:val="28"/>
          <w:szCs w:val="28"/>
        </w:rPr>
        <w:fldChar w:fldCharType="end"/>
      </w:r>
    </w:p>
    <w:p w:rsidR="001B75BC" w:rsidRPr="00296F5C" w:rsidRDefault="001B75BC" w:rsidP="001B75BC">
      <w:pPr>
        <w:pStyle w:val="Prliminairetype"/>
        <w:rPr>
          <w:sz w:val="28"/>
          <w:szCs w:val="28"/>
        </w:rPr>
      </w:pPr>
      <w:r w:rsidRPr="00296F5C">
        <w:rPr>
          <w:sz w:val="28"/>
          <w:szCs w:val="28"/>
        </w:rPr>
        <w:t>A BIZOTTSÁG KÖZLEMÉNYE A TANÁCSNAK, AZ EURÓPAI PARLAMENTNEK, AZ EURÓPAI GAZDASÁGI ÉS SZOCIÁLIS BIZOTTSÁGNAK ÉS A RÉGIÓK BIZOTTSÁGÁNAK</w:t>
      </w:r>
    </w:p>
    <w:p w:rsidR="001B75BC" w:rsidRPr="00296F5C" w:rsidRDefault="001B75BC" w:rsidP="001B75BC">
      <w:pPr>
        <w:pStyle w:val="Prliminairetitre"/>
        <w:rPr>
          <w:sz w:val="28"/>
          <w:szCs w:val="28"/>
        </w:rPr>
      </w:pPr>
      <w:r w:rsidRPr="00296F5C">
        <w:rPr>
          <w:sz w:val="28"/>
          <w:szCs w:val="28"/>
        </w:rPr>
        <w:t>„Gondolkozz előbb kicsiben!”</w:t>
      </w:r>
      <w:r w:rsidRPr="00296F5C">
        <w:rPr>
          <w:sz w:val="28"/>
          <w:szCs w:val="28"/>
        </w:rPr>
        <w:br/>
        <w:t>Európai kisvállalkozói intézkedéscsomag: „Small Business Act”</w:t>
      </w:r>
    </w:p>
    <w:p w:rsidR="001B75BC" w:rsidRPr="00296F5C" w:rsidRDefault="001B75BC" w:rsidP="001B75BC">
      <w:pPr>
        <w:pStyle w:val="Phrasefinale"/>
        <w:rPr>
          <w:sz w:val="28"/>
          <w:szCs w:val="28"/>
        </w:rPr>
      </w:pPr>
      <w:r w:rsidRPr="00296F5C">
        <w:rPr>
          <w:sz w:val="28"/>
          <w:szCs w:val="28"/>
        </w:rPr>
        <w:t>{SEC(2008) 2101}</w:t>
      </w:r>
      <w:r w:rsidRPr="00296F5C">
        <w:rPr>
          <w:sz w:val="28"/>
          <w:szCs w:val="28"/>
        </w:rPr>
        <w:br/>
        <w:t>{SEC(2008) 2102}</w:t>
      </w:r>
    </w:p>
    <w:p w:rsidR="00262E48" w:rsidRPr="00296F5C" w:rsidRDefault="00262E48">
      <w:pPr>
        <w:rPr>
          <w:sz w:val="28"/>
          <w:szCs w:val="28"/>
        </w:rPr>
        <w:sectPr w:rsidR="00262E48" w:rsidRPr="00296F5C" w:rsidSect="001B75BC">
          <w:footerReference w:type="default" r:id="rId14"/>
          <w:footerReference w:type="first" r:id="rId15"/>
          <w:pgSz w:w="11907" w:h="16839"/>
          <w:pgMar w:top="1134" w:right="1417" w:bottom="1134" w:left="1417" w:header="709" w:footer="709" w:gutter="0"/>
          <w:cols w:space="708"/>
          <w:docGrid w:linePitch="360"/>
        </w:sectPr>
      </w:pPr>
    </w:p>
    <w:p w:rsidR="00262E48" w:rsidRPr="00296F5C" w:rsidRDefault="00262E48">
      <w:pPr>
        <w:pStyle w:val="Prliminairetype"/>
        <w:rPr>
          <w:sz w:val="28"/>
          <w:szCs w:val="28"/>
        </w:rPr>
      </w:pPr>
      <w:r w:rsidRPr="00296F5C">
        <w:rPr>
          <w:noProof/>
          <w:sz w:val="28"/>
          <w:szCs w:val="28"/>
        </w:rPr>
        <w:lastRenderedPageBreak/>
        <w:t>A BIZOTTSÁG KÖZLEMÉNYE A TANÁCSNAK, AZ EURÓPAI PARLAMENTNEK, AZ EURÓPAI GAZDASÁGI ÉS SZOCIÁLIS BIZOTTSÁGNAK ÉS A RÉGIÓK BIZOTTSÁGÁNAK</w:t>
      </w:r>
    </w:p>
    <w:p w:rsidR="00262E48" w:rsidRPr="00296F5C" w:rsidRDefault="00262E48">
      <w:pPr>
        <w:pStyle w:val="Prliminairetitre"/>
        <w:rPr>
          <w:sz w:val="28"/>
          <w:szCs w:val="28"/>
        </w:rPr>
      </w:pPr>
      <w:r w:rsidRPr="00296F5C">
        <w:rPr>
          <w:noProof/>
          <w:sz w:val="28"/>
          <w:szCs w:val="28"/>
        </w:rPr>
        <w:t>„Gondolkozz előbb kicsiben!”</w:t>
      </w:r>
      <w:r w:rsidRPr="00296F5C">
        <w:rPr>
          <w:sz w:val="28"/>
          <w:szCs w:val="28"/>
        </w:rPr>
        <w:br/>
      </w:r>
      <w:r w:rsidRPr="00296F5C">
        <w:rPr>
          <w:noProof/>
          <w:sz w:val="28"/>
          <w:szCs w:val="28"/>
        </w:rPr>
        <w:t>Európai kisvállalkozói intézkedéscsomag: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„Small Business Act”</w:t>
      </w:r>
    </w:p>
    <w:p w:rsidR="00262E48" w:rsidRPr="00296F5C" w:rsidRDefault="001B75BC" w:rsidP="001B75BC">
      <w:pPr>
        <w:pStyle w:val="ManualHeading1"/>
        <w:rPr>
          <w:sz w:val="28"/>
          <w:szCs w:val="28"/>
        </w:rPr>
      </w:pPr>
      <w:r w:rsidRPr="00296F5C">
        <w:rPr>
          <w:sz w:val="28"/>
          <w:szCs w:val="28"/>
        </w:rPr>
        <w:t>1.</w:t>
      </w:r>
      <w:r w:rsidRPr="00296F5C">
        <w:rPr>
          <w:sz w:val="28"/>
          <w:szCs w:val="28"/>
        </w:rPr>
        <w:tab/>
      </w:r>
      <w:r w:rsidR="00262E48" w:rsidRPr="00296F5C">
        <w:rPr>
          <w:noProof/>
          <w:sz w:val="28"/>
          <w:szCs w:val="28"/>
        </w:rPr>
        <w:t>Bevezetés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Napjainkban a tudásalapú gazdaságra való átállás a legnagyobb kihívás az EU számára.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Sikeres megvalósítása versenyképes és dinamikus gazdaságot eredményez több és jobb munkahellyel, ami mellett a társadalmi kohézió magasabb szintje valósul meg.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gyors reagálásra képes vállalkozók különösen jó pozícióban vannak ahhoz, hogy részesülhessenek a globalizáció és a felgyorsult technológiai haladás előnyeiből.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 jövőbeli jóléte szempontjából meghatározó kérdés tehát, hogy mennyire sikerül építenünk a kis- és középvállalkozások (kkv-k) növekedési és innovációs lehetőségeire.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folyamatos szerkezeti átalakulásokkal jellemezhető, globálisan változó környezetben és a fokozott versenynek való kitettség mellett a kkv-knak a társadalmunkban betöltött szerepe még fontosabbá vált, hiszen munkalehetőségeket teremtenek, és meghatározó szerepet játszanak a helyi és regionális közösségek boldogulása szempontjából.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virágzó kkv-k révén Európa felkészültebbé válik napjaink globalizált világának bizonytalanságaival szemben.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EU így egyértelműen a kkv-k szükségleteit helyezte a növekedést és foglalkoztatást célzó lisszaboni stratégia középpontjába, különösen a partnerségi szemlélet 2005-ös bevezetése óta</w:t>
      </w:r>
      <w:r w:rsidRPr="00296F5C">
        <w:rPr>
          <w:rStyle w:val="Lbjegyzet-hivatkozs"/>
          <w:noProof/>
          <w:sz w:val="28"/>
          <w:szCs w:val="28"/>
        </w:rPr>
        <w:footnoteReference w:id="1"/>
      </w:r>
      <w:r w:rsidRPr="00296F5C">
        <w:rPr>
          <w:noProof/>
          <w:sz w:val="28"/>
          <w:szCs w:val="28"/>
        </w:rPr>
        <w:t>, amely kézzelfogható eredményeket hozott.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Eljött az ideje, hogy a kkv-k szükségletei egyszer és mindenkorra bevésődjenek az EU-s politika homlokterébe, és hogy az EU állam- és kormányfőinek 2000-ben megfogalmazott víziója – világszínvonalú EU-s kkv-környezet – valósággá váljon</w:t>
      </w:r>
      <w:r w:rsidRPr="00296F5C">
        <w:rPr>
          <w:rStyle w:val="Lbjegyzet-hivatkozs"/>
          <w:noProof/>
          <w:sz w:val="28"/>
          <w:szCs w:val="28"/>
        </w:rPr>
        <w:footnoteReference w:id="2"/>
      </w:r>
      <w:r w:rsidRPr="00296F5C">
        <w:rPr>
          <w:noProof/>
          <w:sz w:val="28"/>
          <w:szCs w:val="28"/>
        </w:rPr>
        <w:t>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kkv-k nemzetközi és helyi működési környezete és maguk a kkv-k is (ideértve a kézműiparosokat, mikrovállalkozásokat, családi vállalkozásokat és szociális gazdasági vállalkozásokat) nagyon különbözőek egymástól.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kkv-k szükségleteinek kielégítésére irányuló politikáknak ezért teljes mértékben kezelniük kell ezt a sokszínűséget, és be kell tartaniuk a szubszidiaritás szabályát.</w:t>
      </w:r>
    </w:p>
    <w:p w:rsidR="00262E48" w:rsidRPr="00296F5C" w:rsidRDefault="001B75BC" w:rsidP="001B75BC">
      <w:pPr>
        <w:pStyle w:val="ManualHeading1"/>
        <w:rPr>
          <w:sz w:val="28"/>
          <w:szCs w:val="28"/>
        </w:rPr>
      </w:pPr>
      <w:r w:rsidRPr="00296F5C">
        <w:rPr>
          <w:sz w:val="28"/>
          <w:szCs w:val="28"/>
        </w:rPr>
        <w:lastRenderedPageBreak/>
        <w:t>2.</w:t>
      </w:r>
      <w:r w:rsidRPr="00296F5C">
        <w:rPr>
          <w:sz w:val="28"/>
          <w:szCs w:val="28"/>
        </w:rPr>
        <w:tab/>
      </w:r>
      <w:r w:rsidR="00262E48" w:rsidRPr="00296F5C">
        <w:rPr>
          <w:noProof/>
          <w:sz w:val="28"/>
          <w:szCs w:val="28"/>
        </w:rPr>
        <w:t>Áttörés az EU kkv-politikájában</w:t>
      </w:r>
      <w:r w:rsidR="00262E48"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EU modern kkv-politikájának a 2005–2007-es félidős felülvizsgálata</w:t>
      </w:r>
      <w:r w:rsidRPr="00296F5C">
        <w:rPr>
          <w:rStyle w:val="Lbjegyzet-hivatkozs"/>
          <w:noProof/>
          <w:sz w:val="28"/>
          <w:szCs w:val="28"/>
        </w:rPr>
        <w:footnoteReference w:id="3"/>
      </w:r>
      <w:r w:rsidRPr="00296F5C">
        <w:rPr>
          <w:noProof/>
          <w:sz w:val="28"/>
          <w:szCs w:val="28"/>
        </w:rPr>
        <w:t xml:space="preserve"> azt mutatta, hogy mind a tagállamok, mind az EU előrehaladást ért el a „kkv-barátabb” üzleti környezet megteremtésében.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Bizottság valódi erőfeszítéseket tett a kkv-kat hátráltató adminisztratív terhek csökkentése érdekében, és jelentősen megerősítette a 2007–2013-as időszak európai uniós támogatási programjainak kkv-irányultságát.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tagállamok érzékelhetően javítottak a kkv-k üzleti környezetén, amelyhez az ötleteket a 2000-ben Feirában elfogadott Kisvállalkozások Európai Chartája keretében megosztott legjobb gyakorlatok szolgáltatták: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végrehajtották az Európai Tanács 2006 tavaszi ülésének következtetéseit, például bevezették az egyablakos cégbejegyzési eljárást, továbbá lecsökkentették a vállalkozásindításhoz szükséges időt és költségeket.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jobb szabályozásra irányuló EU-s stratégia</w:t>
      </w:r>
      <w:r w:rsidRPr="00296F5C">
        <w:rPr>
          <w:rStyle w:val="Lbjegyzet-hivatkozs"/>
          <w:noProof/>
          <w:sz w:val="28"/>
          <w:szCs w:val="28"/>
        </w:rPr>
        <w:footnoteReference w:id="4"/>
      </w:r>
      <w:r w:rsidRPr="00296F5C">
        <w:rPr>
          <w:noProof/>
          <w:sz w:val="28"/>
          <w:szCs w:val="28"/>
        </w:rPr>
        <w:t xml:space="preserve"> további döntő fontosságú elem a kkv-k számára, amelyeknek az érdekeit nagyban szolgálja majd a hatályos EU-s jogszabályok megújítása és egyszerűsítése, továbbá az az ambiciózus program, amelynek célja, hogy a közösségi jogszabályokból fakadó adminisztratív teher 2012-ig 25%-kal csökkenjen.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ígéretes előrehaladás mellett az EU-nak további meghatározó lépéseket kell tennie, hogy a kkv-k teljes potenciálja kibontakozhasson</w:t>
      </w:r>
      <w:r w:rsidRPr="00296F5C">
        <w:rPr>
          <w:rStyle w:val="Lbjegyzet-hivatkozs"/>
          <w:noProof/>
          <w:sz w:val="28"/>
          <w:szCs w:val="28"/>
        </w:rPr>
        <w:footnoteReference w:id="5"/>
      </w:r>
      <w:r w:rsidRPr="00296F5C">
        <w:rPr>
          <w:noProof/>
          <w:sz w:val="28"/>
          <w:szCs w:val="28"/>
        </w:rPr>
        <w:t>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Általánosságban elmondható, hogy az EU-ban a kkv-k még mindig alacsonyabb termelékenységgel rendelkeznek és lassabban növekednek, mint az Egyesült Államokban.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Míg az USÁ-ban a fennmaradó cégek átlagosan 60 %-kal emelik meg foglalkoztatotti létszámukat működésük hetedik évére, addig Európában a fennmaradó cégek foglalkoztatásbővítése a 10–20 %-os nagyságrendben mozog.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kkv-knak még mindig a működési feltételeiket lerontó piaci elégtelenségekkel kell szembenézniük, és ilyen feltételek között versenyeznek a többi szereplővel az olyan területeken, mint például a pénzügy (különösen a kockázati tőke), kutatás, innováció, valamint a környezetvédelem.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kkv-k mintegy 21 %-a állítja például, hogy a forráshoz jutás problémát jelent számára</w:t>
      </w:r>
      <w:r w:rsidRPr="00296F5C">
        <w:rPr>
          <w:rStyle w:val="Lbjegyzet-hivatkozs"/>
          <w:noProof/>
          <w:sz w:val="28"/>
          <w:szCs w:val="28"/>
        </w:rPr>
        <w:footnoteReference w:id="6"/>
      </w:r>
      <w:r w:rsidRPr="00296F5C">
        <w:rPr>
          <w:noProof/>
          <w:sz w:val="28"/>
          <w:szCs w:val="28"/>
        </w:rPr>
        <w:t>, és ez az arány a mikrovállalkozások esetében számos tagállamban még sokkal magasabb.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További probléma, hogy a nagyvállalatokkal való összehasonlításban kevés európai kkv valósít meg sikeres innovációt.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helyzetet rontják az olyan szerkezeti nehézségek, mint a menedzsment és műszaki készségek hiánya, illetve a tagállami munkaerőpiacokat továbbra is jellemző merevségek.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kkv-knak az európai gazdaságban betöltött szerepe több alkalommal nyert elismerést a legmagasabb politikai szinteken.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A 2008. márciusi Európai Tanács </w:t>
      </w:r>
      <w:r w:rsidRPr="00296F5C">
        <w:rPr>
          <w:noProof/>
          <w:sz w:val="28"/>
          <w:szCs w:val="28"/>
        </w:rPr>
        <w:lastRenderedPageBreak/>
        <w:t>egyöntetű támogatását fejezte ki a kkv-k fenntartható növekedésének és versenyképességének fokozására irányuló kezdeményezéssel kapcsolatban, amely a „Small Business Act” (SBA) elnevezést kapta, és a Tanács kérte annak gyors elfogadását.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egységes piac felülvizsgálata</w:t>
      </w:r>
      <w:r w:rsidRPr="00296F5C">
        <w:rPr>
          <w:rStyle w:val="Lbjegyzet-hivatkozs"/>
          <w:noProof/>
          <w:sz w:val="28"/>
          <w:szCs w:val="28"/>
        </w:rPr>
        <w:footnoteReference w:id="7"/>
      </w:r>
      <w:r w:rsidRPr="00296F5C">
        <w:rPr>
          <w:noProof/>
          <w:sz w:val="28"/>
          <w:szCs w:val="28"/>
        </w:rPr>
        <w:t xml:space="preserve"> szintén további intézkedéseket sürgetett egy, a mai kkv-k szükségleteinek jobban megfelelő egységes piac megteremtése érdekében, hogy az jobb eredményeket hozzon és több előnnyel járjon.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Végezetül az SBA kidolgozását megelőző közmeghallgatás és online konzultáció</w:t>
      </w:r>
      <w:r w:rsidRPr="00296F5C">
        <w:rPr>
          <w:rStyle w:val="Lbjegyzet-hivatkozs"/>
          <w:noProof/>
          <w:sz w:val="28"/>
          <w:szCs w:val="28"/>
        </w:rPr>
        <w:footnoteReference w:id="8"/>
      </w:r>
      <w:r w:rsidRPr="00296F5C">
        <w:rPr>
          <w:noProof/>
          <w:sz w:val="28"/>
          <w:szCs w:val="28"/>
        </w:rPr>
        <w:t xml:space="preserve"> megerősítette, hogy a kkv-k teljes potenciáljának kibontakoztatásához nagy horderejű politikai kezdeményezésre van szükség 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Ezért határozott a Bizottság e döntő lépés megtétele mellett, és mutatja be a „Small Business Act” (SBA) elnevezésű, európai kisvállalkozói intézkedéscsomagot.</w:t>
      </w:r>
    </w:p>
    <w:p w:rsidR="00262E48" w:rsidRPr="00296F5C" w:rsidRDefault="001B75BC" w:rsidP="001B75BC">
      <w:pPr>
        <w:pStyle w:val="ManualHeading1"/>
        <w:rPr>
          <w:sz w:val="28"/>
          <w:szCs w:val="28"/>
        </w:rPr>
      </w:pPr>
      <w:r w:rsidRPr="00296F5C">
        <w:rPr>
          <w:sz w:val="28"/>
          <w:szCs w:val="28"/>
        </w:rPr>
        <w:t>3.</w:t>
      </w:r>
      <w:r w:rsidRPr="00296F5C">
        <w:rPr>
          <w:sz w:val="28"/>
          <w:szCs w:val="28"/>
        </w:rPr>
        <w:tab/>
      </w:r>
      <w:r w:rsidR="00262E48" w:rsidRPr="00296F5C">
        <w:rPr>
          <w:sz w:val="28"/>
          <w:szCs w:val="28"/>
        </w:rPr>
        <w:t xml:space="preserve">Ambiciózus kkv-politikai program megvalósítása – Európai kisvállalkozói intézkedéscsomag: </w:t>
      </w:r>
      <w:r w:rsidR="00262E48" w:rsidRPr="00296F5C">
        <w:rPr>
          <w:noProof/>
          <w:sz w:val="28"/>
          <w:szCs w:val="28"/>
        </w:rPr>
        <w:t>„Small Business Act” (SBA)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európai SBA középpontjában az a meggyőződés áll, hogy a kkv-k számára a legjobb keretfeltételek megteremtése elsősorban és leginkább attól függ, hogy a társadalom mennyire ismeri el a vállalkozókat.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társadalomban uralkodó általános vélekedésnek ösztönöznie kell az egyéneket arra, hogy vonzó lehetőségként tekintsenek a saját vállalkozás elindítására, és a társadalomnak méltányolnia kell, hogy a kkv-k jelentős mértékben hozzájárulnak a foglalkoztatás bővítéséhez és a gazdasági jóléthez.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„kkv-barát” környezet megteremtése szempontjából döntő fontosságú, hogy az EU-ban megváltozzon a vállalkozók szerepéről és a kockázatvállalásról alkotott vélemény: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politikai vezetőknek és a médiának elismerésben kell részesíteniük a vállalkozói készséget és a kockázatvállalási hajlandóságot, a közigazgatásnak pedig támogatnia kell őket.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„kkv-barát” szemléletnek meghatározóvá kell válnia, a szabályoknak pedig annak a többségnek az érdekeit kell szolgálnia, amely alkalmazni fogja azokat: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 „Gondolkozz előbb kicsiben!” elv.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 „Small Business Act” intézkedéscsomag ezért a vállalkozásokkal kapcsolatos általános politikai megközelítést kívánja javítani, és a „Gondolkozz előbb kicsiben!” elv visszavonhatatlan rögzítésére törekszik a politikaalkotásban – a szabályozástól a közszolgáltatásokig.</w:t>
      </w:r>
      <w:r w:rsidRPr="00296F5C">
        <w:rPr>
          <w:b/>
          <w:i/>
          <w:sz w:val="28"/>
          <w:szCs w:val="28"/>
        </w:rPr>
        <w:t xml:space="preserve"> </w:t>
      </w:r>
      <w:r w:rsidRPr="00296F5C">
        <w:rPr>
          <w:b/>
          <w:i/>
          <w:noProof/>
          <w:sz w:val="28"/>
          <w:szCs w:val="28"/>
        </w:rPr>
        <w:t>A kezdeményezés továbbá a kkv-k fejlődését hátráltató, még fennálló problémák kezeléséhez nyújtott segítségen keresztül segíti a kkv-k növekedését.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 xml:space="preserve">Az SBA épít a Bizottság és a tagállamok által a szakpolitikai területeken elért eredményekre, új politikai kereteket teremt, amely integrálja a már létező vállalkozáspolitikai eszközöket, és különösen a Kisvállalkozások Európai </w:t>
      </w:r>
      <w:r w:rsidRPr="00296F5C">
        <w:rPr>
          <w:noProof/>
          <w:sz w:val="28"/>
          <w:szCs w:val="28"/>
        </w:rPr>
        <w:lastRenderedPageBreak/>
        <w:t>Chartájára és a modern kkv-politikára támaszkodik.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Ezen ambiciózus politikai program megvalósítása érdekében a Bizottság olyan egyedülálló politikai partnerséget javasol az EU és a tagállamok között, amely összhangban van a szubszidiaritás és az arányosság elveivel.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kezdeményezésnek adott szimbolikus „Small Business Act” elnevezés azt a politikai szándékot fejezi ki, hogy elismerést kapjon a kkv-k központi szerepe az EU gazdaságában, továbbá, hogy az EU és tagállamai számára most először átfogó politikai kereteket alkossanak.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Ennek érdekében az EU</w:t>
      </w:r>
    </w:p>
    <w:p w:rsidR="00262E48" w:rsidRPr="00296F5C" w:rsidRDefault="00262E48">
      <w:pPr>
        <w:pStyle w:val="Felsorols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10 elvet fogalmaz meg, amelyek segítik majd a politikák kidolgozását és végrehajtását mind közösségi mind tagállami szinten.</w:t>
      </w:r>
      <w:r w:rsidRPr="00296F5C">
        <w:rPr>
          <w:b/>
          <w:sz w:val="28"/>
          <w:szCs w:val="28"/>
        </w:rPr>
        <w:t xml:space="preserve"> </w:t>
      </w:r>
      <w:r w:rsidRPr="00296F5C">
        <w:rPr>
          <w:b/>
          <w:noProof/>
          <w:sz w:val="28"/>
          <w:szCs w:val="28"/>
        </w:rPr>
        <w:t>A negyedik fejezetben részletesen bemutatásra kerülő elvek létfontosságúak annak érdekében, hogy hozzáadott értéket biztosítsanak EU szinten, egységes feltételeket teremtsenek a kkv-k számára, és javítsák a jogi és igazgatási környezetet az EU egészében: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Olyan környezetet kell teremteni, amelyben a vállalkozók és a családi vállalkozások boldogulhatnak, és amely díjazza a vállalkozói készséget.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II.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Biztosítani kell azt, hogy a csődbe jutott becsületes vállalkozók gyorsan megkapják a lehetőséget az újrakezdéshez.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III.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A „Gondolkozz előbb kicsiben!” elvnek megfelelő szabályokat kell alkotni.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IV.</w:t>
      </w:r>
      <w:r w:rsidRPr="00296F5C">
        <w:rPr>
          <w:noProof/>
          <w:sz w:val="28"/>
          <w:szCs w:val="28"/>
        </w:rPr>
        <w:tab/>
        <w:t>A közigazgatási rendszereknek meg kell felelniük a kkv-k szükségleteinek</w:t>
      </w:r>
      <w:r w:rsidRPr="00296F5C">
        <w:rPr>
          <w:color w:val="0000FF"/>
          <w:sz w:val="28"/>
          <w:szCs w:val="28"/>
        </w:rPr>
        <w:t>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V.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A szakpolitikai eszköztárat hozzá kell igazítani a kkv-k szükségleteihez: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meg kell könnyíteni a kkv-k részvételét a közbeszerzési eljárásokban, és jobban ki kell használni a kkv-k állami támogatásának lehetőségeit.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VI.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Meg kell könnyíteni a kkv-k finanszírozáshoz jutását, továbbá olyan jogi és üzleti környezetet kell teremteni, amely támogatja a kereskedelmi tranzakciókhoz kapcsolódó fizetések időben történő teljesülését.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VII.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Segíteni kell a kkv-kat abban, hogy nagyobb mértékben élvezhessék az egységes piac nyújtotta előnyöket.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VIII.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Elő kell segíteni a kkv-k szaktudásának fejlesztését és az innováció valamennyi formáját.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IX.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Lehetővé kell tenni a kkv-k számára, hogy a környezetvédelmi kihívásokat üzleti lehetőségekké alakítsák.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noProof/>
          <w:sz w:val="28"/>
          <w:szCs w:val="28"/>
        </w:rPr>
        <w:t>X.</w:t>
      </w:r>
      <w:r w:rsidRPr="00296F5C">
        <w:rPr>
          <w:sz w:val="28"/>
          <w:szCs w:val="28"/>
        </w:rPr>
        <w:tab/>
      </w:r>
      <w:r w:rsidRPr="00296F5C">
        <w:rPr>
          <w:noProof/>
          <w:sz w:val="28"/>
          <w:szCs w:val="28"/>
        </w:rPr>
        <w:t>Ösztönözni és támogatni kell a kkv-kat, hogy részesüljenek a növekvő piacok előnyeiből.</w:t>
      </w:r>
    </w:p>
    <w:p w:rsidR="00262E48" w:rsidRPr="00296F5C" w:rsidRDefault="00262E48">
      <w:pPr>
        <w:pStyle w:val="Felsorols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az új jogszabályalkotási javaslatokat tesz, melyeket a „Gondolkozz előbb kicsiben!” elv mentén dolgozzák ki:</w:t>
      </w:r>
      <w:r w:rsidRPr="00296F5C">
        <w:rPr>
          <w:b/>
          <w:sz w:val="28"/>
          <w:szCs w:val="28"/>
        </w:rPr>
        <w:t xml:space="preserve"> </w:t>
      </w:r>
    </w:p>
    <w:p w:rsidR="00262E48" w:rsidRPr="00296F5C" w:rsidRDefault="00262E48">
      <w:pPr>
        <w:pStyle w:val="ListDash"/>
        <w:rPr>
          <w:sz w:val="28"/>
          <w:szCs w:val="28"/>
        </w:rPr>
      </w:pPr>
      <w:r w:rsidRPr="00296F5C">
        <w:rPr>
          <w:noProof/>
          <w:sz w:val="28"/>
          <w:szCs w:val="28"/>
        </w:rPr>
        <w:lastRenderedPageBreak/>
        <w:t>Az állami támogatásokra vonatkozó általános csoportmentességi rendelet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sz w:val="28"/>
          <w:szCs w:val="28"/>
        </w:rPr>
        <w:t>A rövidesen elfogadásra kerülő rendelet mentesíteni fogja az állami támogatás egyes kategóriáit az előzetes bejelentési kötelezettség alól, így a kkv-knak juttatott állami támogatások területén hatályos rendeletek által már lefedett kategóriákat, továbbá a képzéshez, foglalkoztatáshoz, K+F-hez nyújtott támogatásokat, a regionális támogatásokat, és esetleg új támogatási kategóriákat is.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 xml:space="preserve">Az új rendelet egyszerűsíteni és egységesíteni fogja a kkv-kra vonatkozó hatályos szabályokat, és növelni fogja a kkv-k beruházási támogatásainak intenzitását. </w:t>
      </w:r>
    </w:p>
    <w:p w:rsidR="00262E48" w:rsidRPr="00296F5C" w:rsidRDefault="00262E48">
      <w:pPr>
        <w:pStyle w:val="ListDash"/>
        <w:rPr>
          <w:sz w:val="28"/>
          <w:szCs w:val="28"/>
        </w:rPr>
      </w:pPr>
      <w:r w:rsidRPr="00296F5C">
        <w:rPr>
          <w:sz w:val="28"/>
          <w:szCs w:val="28"/>
        </w:rPr>
        <w:t>Az európai zártkörű társaság (Societas Privata Europaea,</w:t>
      </w:r>
      <w:r w:rsidRPr="00296F5C">
        <w:rPr>
          <w:rFonts w:ascii="Arial" w:hAnsi="Arial"/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>SPE) statútumáról szóló rendelet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Ez a rendelet meghatározza a valamennyi tagállamban egységes elvek alapján létrehozható és működtethető SPE statútumát.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Annak érdekében, hogy az új társasági forma is részesüljön a hatályos társasági adó irányelvek előnyeiből, a Bizottság be fogja terjeszteni a szükséges módosító javaslatokat.</w:t>
      </w:r>
    </w:p>
    <w:p w:rsidR="00262E48" w:rsidRPr="00296F5C" w:rsidRDefault="00262E48">
      <w:pPr>
        <w:pStyle w:val="ListDash"/>
        <w:rPr>
          <w:sz w:val="28"/>
          <w:szCs w:val="28"/>
        </w:rPr>
      </w:pPr>
      <w:r w:rsidRPr="00296F5C">
        <w:rPr>
          <w:noProof/>
          <w:sz w:val="28"/>
          <w:szCs w:val="28"/>
        </w:rPr>
        <w:t>A csökkentett HÉA-kulcsokról szóló irányelv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rövidesen előterjesztésre kerülő irányelv lehetőséget nyújt a tagállamoknak arra, hogy csökkentett HÉA-kulcsokat alkalmazzanak elsősorban a helyben nyújtott szolgáltatások tekintetében, amelyeket főként a kkv-k biztosítanak.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Ezen túlmenően az SBA részeként az alábbi javaslatok kerülnek kidolgozásra:</w:t>
      </w:r>
    </w:p>
    <w:p w:rsidR="00262E48" w:rsidRPr="00296F5C" w:rsidRDefault="00262E48">
      <w:pPr>
        <w:pStyle w:val="ListDash"/>
        <w:rPr>
          <w:sz w:val="28"/>
          <w:szCs w:val="28"/>
        </w:rPr>
      </w:pPr>
      <w:r w:rsidRPr="00296F5C">
        <w:rPr>
          <w:noProof/>
          <w:sz w:val="28"/>
          <w:szCs w:val="28"/>
        </w:rPr>
        <w:t>A HÉA-számlázásra vonatkozó hatályos szabályok megújítására, egyszerűsítésére és harmonizálására irányuló jogalkotási javaslat, amelynek célja a vállalkozások terheinek csökkentése.</w:t>
      </w:r>
    </w:p>
    <w:p w:rsidR="00262E48" w:rsidRPr="00296F5C" w:rsidRDefault="00262E48">
      <w:pPr>
        <w:pStyle w:val="ListDash"/>
        <w:rPr>
          <w:b/>
          <w:sz w:val="28"/>
          <w:szCs w:val="28"/>
        </w:rPr>
      </w:pPr>
      <w:r w:rsidRPr="00296F5C">
        <w:rPr>
          <w:noProof/>
          <w:sz w:val="28"/>
          <w:szCs w:val="28"/>
        </w:rPr>
        <w:t>A késedelmes fizetésekről szóló 2000/35/EK irányelv módosítása annak biztosítása érdekében, hogy a kkv-knak a kereskedelmi ügyletek kapcsán járó fizetések időben teljesüljenek.</w:t>
      </w:r>
    </w:p>
    <w:p w:rsidR="00262E48" w:rsidRPr="00296F5C" w:rsidRDefault="00262E48">
      <w:pPr>
        <w:pStyle w:val="Felsorols"/>
        <w:rPr>
          <w:b/>
          <w:sz w:val="28"/>
          <w:szCs w:val="28"/>
        </w:rPr>
      </w:pPr>
      <w:r w:rsidRPr="00296F5C">
        <w:rPr>
          <w:b/>
          <w:noProof/>
          <w:sz w:val="28"/>
          <w:szCs w:val="28"/>
        </w:rPr>
        <w:t>új szakpolitikai intézkedéseket hoz, amelyek mind közösségi, mind tagállami szinten a kkv-k szükségleteinek megfelelően biztosítják a fenti 10 elv végrehajtását.</w:t>
      </w:r>
    </w:p>
    <w:p w:rsidR="00262E48" w:rsidRPr="00296F5C" w:rsidRDefault="001B75BC" w:rsidP="001B75BC">
      <w:pPr>
        <w:pStyle w:val="ManualHeading1"/>
        <w:rPr>
          <w:sz w:val="28"/>
          <w:szCs w:val="28"/>
        </w:rPr>
      </w:pPr>
      <w:r w:rsidRPr="00296F5C">
        <w:rPr>
          <w:sz w:val="28"/>
          <w:szCs w:val="28"/>
        </w:rPr>
        <w:t>4.</w:t>
      </w:r>
      <w:r w:rsidRPr="00296F5C">
        <w:rPr>
          <w:sz w:val="28"/>
          <w:szCs w:val="28"/>
        </w:rPr>
        <w:tab/>
      </w:r>
      <w:r w:rsidR="00262E48" w:rsidRPr="00296F5C">
        <w:rPr>
          <w:noProof/>
          <w:sz w:val="28"/>
          <w:szCs w:val="28"/>
        </w:rPr>
        <w:t>Elvekből a kézzelfogható politikai intézkedések felé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b/>
          <w:sz w:val="28"/>
          <w:szCs w:val="28"/>
        </w:rPr>
      </w:pPr>
      <w:r w:rsidRPr="00296F5C">
        <w:rPr>
          <w:b/>
          <w:noProof/>
          <w:sz w:val="28"/>
          <w:szCs w:val="28"/>
        </w:rPr>
        <w:t>I.</w:t>
      </w:r>
      <w:r w:rsidRPr="00296F5C">
        <w:rPr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>EU-nak és a tagállamoknak</w:t>
      </w:r>
      <w:r w:rsidRPr="00296F5C">
        <w:rPr>
          <w:b/>
          <w:noProof/>
          <w:sz w:val="28"/>
          <w:szCs w:val="28"/>
        </w:rPr>
        <w:t xml:space="preserve"> olyan környezetet kell teremteniük, amelyben a vállalkozók és a családi vállalkozások boldogulhatnak, és amely díjazza a vállalkozói készséget.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>Jobban kell törődniük a jövő vállalkozóival, különösen a vállalkozói érdeklődés és a tehetség előmozdítása által, főleg a fiatalok és a nők körében, valamint a vállalkozások átadásának egyszerűbbé tételén keresztül.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lastRenderedPageBreak/>
        <w:t xml:space="preserve">A vállalkozói szemléletről készült 2007-es </w:t>
      </w:r>
      <w:r w:rsidRPr="00296F5C">
        <w:rPr>
          <w:i/>
          <w:noProof/>
          <w:sz w:val="28"/>
          <w:szCs w:val="28"/>
        </w:rPr>
        <w:t>Eurobarométer gyorsfelmérés</w:t>
      </w:r>
      <w:r w:rsidRPr="00296F5C">
        <w:rPr>
          <w:rStyle w:val="Lbjegyzet-hivatkozs"/>
          <w:i/>
          <w:noProof/>
          <w:sz w:val="28"/>
          <w:szCs w:val="28"/>
        </w:rPr>
        <w:footnoteReference w:id="9"/>
      </w:r>
      <w:r w:rsidRPr="00296F5C">
        <w:rPr>
          <w:noProof/>
          <w:sz w:val="28"/>
          <w:szCs w:val="28"/>
        </w:rPr>
        <w:t xml:space="preserve"> azt mutatja, hogy az európaiak 45 %-a lenne inkább önfoglalkoztató, szemben az USA 61 %-os szintjével.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helyzet évek óta változatlan.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európaiakat jobban meg kell ismertetni azzal a gondolattal, hogy az önfoglalkoztatás vonzó karrierlehetőség, és fel kell őket fegyverezni a szükséges készségekkel, hogy ambícióikat kamatoztatni tudják.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oktatási rendszer, és különösen az iskolai tananyag, nem szentel kellő figyelmet a vállalkozásokra, és nem vértez fel a vállalkozók számára szükséges készségekkel.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gyerekekkel már oktatásuk elejétől fogva megtanítható a vállalkozói készség értékelése.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sz w:val="28"/>
          <w:szCs w:val="28"/>
        </w:rPr>
        <w:t>Az elkövetkező tíz évben becslések szerint 6 millió kisvállalkozás tulajdonosa fog nyugdíjba vonulni, és Európa nem engedheti meg magának, hogy pusztán azért kockáztassa ezen vállalkozások elvesztését, mert nehézségekbe ütközik a vállalkozások átadása, vagy mert nincs kellő vonzereje a családi vállalkozások hagyományos szerepének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 xml:space="preserve">Amennyiben nagyobb számban adnának át vállalkozásokat, annak pozitív hatása azonnal megmutatkozna az európai gazdaságban: </w:t>
      </w:r>
      <w:r w:rsidRPr="00296F5C">
        <w:rPr>
          <w:noProof/>
          <w:sz w:val="28"/>
          <w:szCs w:val="28"/>
        </w:rPr>
        <w:t>a vállalkozások sikeres átadása átlagosan több munkahelyet őriz meg, mint amennyit az új, kezdő vállalkozások létrehoznak.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vállalkozások átadásának ezért ugyanolyan támogatásban kell részesülnie, mint az új vállalkozások indításának.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kkv-k és azon belül a családi vállalkozások által betöltött különleges szerep elismerése, jellemzően helyi beágyazódásuk, társadalmi felelősségvállalásuk és képességük a hagyománynak az innovációval való ötvözésére mind-mind alátámasztják azt, hogy a vállalkozások és szakmai tudásuk átadása fontos szempont.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vállalkozói készségeket jobban ki kell bontakoztatni.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vállalkozói készségek tekintetében tartósan fennáll a nemek közötti szakadék, azaz kevesebb a női vállalkozó.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 hozzáadódik a bevándorlók kihasználatlanul hagyott vállalkozói potenciáljához</w:t>
      </w:r>
      <w:r w:rsidRPr="00296F5C">
        <w:rPr>
          <w:rStyle w:val="Lbjegyzet-hivatkozs"/>
          <w:noProof/>
          <w:sz w:val="28"/>
          <w:szCs w:val="28"/>
        </w:rPr>
        <w:footnoteReference w:id="10"/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Végezetül az SBA-ra úgy is kell tekinteni, mint a vállalkozók számára kínálkozó lehetőségre, amelyen keresztül maguk is hozzájárulhatnak a jobb üzleti környezet megteremtéséhez, mégpedig azáltal, hogy fokozottabb együttműködést és a hálózatépítést folytatnak, jobban kibontakoztatják a kkv-k, és különösen a vállalkozói készségek elsajátításának fontos terepeiként működő családi vállalkozások potenciálját továbbá a társadalmi felelősségvállalás elvével összhangban lépnek fel 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3"/>
      </w:tblGrid>
      <w:tr w:rsidR="00262E48" w:rsidRPr="00296F5C" w:rsidTr="00F50244">
        <w:tc>
          <w:tcPr>
            <w:tcW w:w="9212" w:type="dxa"/>
            <w:tcBorders>
              <w:top w:val="single" w:sz="4" w:space="0" w:color="auto"/>
            </w:tcBorders>
          </w:tcPr>
          <w:p w:rsidR="00262E48" w:rsidRPr="00296F5C" w:rsidRDefault="00262E48">
            <w:pPr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</w:t>
            </w:r>
            <w:r w:rsidRPr="00296F5C">
              <w:rPr>
                <w:b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lastRenderedPageBreak/>
              <w:t>előmozdítja a vállalkozói kultúra terjedését, és segítséget nyújt a vállalkozásoktatás bevált gyakorlatainak megismeréséhez;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2009-ben elindítja „A kkv-k európai hetét” – amely a vállalkozások népszerűsítésére irányuló rendezvénysorozatot takar szerte Európában,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2008-ban elindítja az „Erasmus – Ifjú vállalkozók” kezdeményezést, amelynek célja, hogy elősegítse a tapasztalatcserét és képzést azáltal, hogy a kezdő vállalkozóknak lehetőséget biztosít arra, hogy tapasztalt vállalkozóktól tanulhassanak, és fejleszthessék nyelvtudásukat.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létre fogja hozni a női vállalkozók „nagyköveteinek” EU-s hálózatát, támogatni fogja a mentorprogramokat, hogy ösztönözze a nőket saját vállalkozás indítására, továbbá fokozni fogja a diplomás nők vállalkozókedvét.</w:t>
            </w:r>
          </w:p>
        </w:tc>
      </w:tr>
      <w:tr w:rsidR="00262E48" w:rsidRPr="00296F5C" w:rsidTr="00F50244">
        <w:trPr>
          <w:trHeight w:val="3220"/>
        </w:trPr>
        <w:tc>
          <w:tcPr>
            <w:tcW w:w="9213" w:type="dxa"/>
            <w:tcBorders>
              <w:bottom w:val="single" w:sz="4" w:space="0" w:color="auto"/>
            </w:tcBorders>
          </w:tcPr>
          <w:p w:rsidR="00262E48" w:rsidRPr="00296F5C" w:rsidRDefault="00262E48">
            <w:pPr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lastRenderedPageBreak/>
              <w:t>A tagállamok felkérést kapnak, hogy</w:t>
            </w:r>
            <w:r w:rsidRPr="00296F5C">
              <w:rPr>
                <w:b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vállalkozói készségeknek az iskolai tananyagban kulcskompetenciaként való bevezetésén keresztül ösztönözzék az innovatív és vállalkozói szemlélet kialakulását a fiatalok körében, különösen a középfokú oktatásban, és gondoskodjanak arról, hogy a vállalkozói készségek megfelelően jelenjenek meg az oktatási anyagokban;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 a vállalkozói szemlélet helyes megjelenítését a tanártovábbképzésben;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különböző szinteken zajló vállalkozásoktatás rendszerszerű stratégiáinak kifejlesztése érdekében erősítsék meg együttműködésüket az üzleti élet szereplőivel;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 azt, hogy az adózás (különös tekintettel az ajándékozásra, az osztalékadóra és a vagyonadóra) ne akadályozza indokolatlanul a vállalkozások átadását;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dolgozzanak ki megoldásokat arra, hogy az átadásra váró vállalkozások és a lehetséges új tulajdonosok egymásra találjanak;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nyújtsanak mentoring és egyéb támogatást a vállalkozások átadásához;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gondoskodjanak mentorprogramokról és nyújtsanak támogatást a női vállalkozóknak;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gondoskodjanak mentorprogramokról és nyújtsanak támogatást a vállalkozni vágyó bevándorlóknak.</w:t>
            </w:r>
          </w:p>
        </w:tc>
      </w:tr>
    </w:tbl>
    <w:p w:rsidR="00C93BB5" w:rsidRPr="00296F5C" w:rsidRDefault="00C93BB5">
      <w:pPr>
        <w:rPr>
          <w:b/>
          <w:sz w:val="28"/>
          <w:szCs w:val="28"/>
        </w:rPr>
      </w:pPr>
    </w:p>
    <w:p w:rsidR="00262E48" w:rsidRPr="00296F5C" w:rsidRDefault="00C93BB5">
      <w:pPr>
        <w:rPr>
          <w:b/>
          <w:sz w:val="28"/>
          <w:szCs w:val="28"/>
        </w:rPr>
      </w:pPr>
      <w:r w:rsidRPr="00296F5C">
        <w:rPr>
          <w:b/>
          <w:sz w:val="28"/>
          <w:szCs w:val="28"/>
        </w:rPr>
        <w:br w:type="page"/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II.</w:t>
      </w:r>
      <w:r w:rsidRPr="00296F5C">
        <w:rPr>
          <w:b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 </w:t>
      </w:r>
      <w:r w:rsidRPr="00296F5C">
        <w:rPr>
          <w:b/>
          <w:i/>
          <w:noProof/>
          <w:sz w:val="28"/>
          <w:szCs w:val="28"/>
        </w:rPr>
        <w:t xml:space="preserve">tagállamoknak </w:t>
      </w:r>
      <w:r w:rsidRPr="00296F5C">
        <w:rPr>
          <w:b/>
          <w:noProof/>
          <w:sz w:val="28"/>
          <w:szCs w:val="28"/>
        </w:rPr>
        <w:t>biztosítaniuk kell azt, hogy a csődbe jutott becsületes vállalkozók gyorsan megkapják a lehetőséget az újrakezdéshez.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vállalkozások megszűnésének az esetek 15 %-ában a csődbe jutás az oka.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Évente átlagosan 700 000 kkv jut erre a sorsra, és ez minden évben 2,8 millió munkahelyet érint Európában</w:t>
      </w:r>
      <w:r w:rsidRPr="00296F5C">
        <w:rPr>
          <w:rStyle w:val="Lbjegyzet-hivatkozs"/>
          <w:noProof/>
          <w:sz w:val="28"/>
          <w:szCs w:val="28"/>
        </w:rPr>
        <w:footnoteReference w:id="11"/>
      </w:r>
      <w:r w:rsidRPr="00296F5C">
        <w:rPr>
          <w:noProof/>
          <w:sz w:val="28"/>
          <w:szCs w:val="28"/>
        </w:rPr>
        <w:t>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EU-ban még mindig számolni kell az üzleti kudarc miatti megbélyegzéssel, és a társadalom alábecsüli az újrakezdők üzleti potenciálját.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Jelenleg az európaiak 47 %-a nem szívesen rendelne egy előzőleg csődbe ment vállalkozástól.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Ugyanakkor az újrakezdést bonyolulttá teszi a hosszadalmas csődeljárás.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csődeljárás átlagos ideje az EU-ban 4 hónap és 9 év között változik.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2"/>
      </w:tblGrid>
      <w:tr w:rsidR="00262E48" w:rsidRPr="00296F5C" w:rsidTr="00F50244">
        <w:trPr>
          <w:trHeight w:val="2005"/>
        </w:trPr>
        <w:tc>
          <w:tcPr>
            <w:tcW w:w="9212" w:type="dxa"/>
          </w:tcPr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b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folytatni fogja az újrakezdés politikájának elősegítését a bevált gyakorlatoknak a tagállamok közötti cseréjén keresztül;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tagállamok felkérést kapnak, hogy: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elősegítsék a pozitív szemléletmód kialakulását a társadalomban a vállalkozók újrakezdéshez kapott lehetőségének megítélésével kapcsolatban, például nyilvános tájékoztató kampányok megszervezésén keresztül;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célul tűzzék ki, hogy nem csalárd csőd esetén a vállalkozás megszüntetésére irányuló valamennyi jogi eljárás egy éven belül lezáródjon;</w:t>
            </w:r>
          </w:p>
          <w:p w:rsidR="00262E48" w:rsidRPr="00296F5C" w:rsidRDefault="00262E48" w:rsidP="00F50244">
            <w:pPr>
              <w:pStyle w:val="Felsorols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biztosítsák, hogy az újrakezdők ugyanolyan elbírálás alá essenek, mint az újonnan induló kezdő vállalkozások, ideértve a támogatási programokban való részvételüket is.</w:t>
            </w:r>
          </w:p>
        </w:tc>
      </w:tr>
    </w:tbl>
    <w:p w:rsidR="00262E48" w:rsidRPr="00296F5C" w:rsidRDefault="00262E48">
      <w:pPr>
        <w:rPr>
          <w:b/>
          <w:i/>
          <w:sz w:val="28"/>
          <w:szCs w:val="28"/>
        </w:rPr>
      </w:pP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i/>
          <w:sz w:val="28"/>
          <w:szCs w:val="28"/>
        </w:rPr>
      </w:pPr>
      <w:r w:rsidRPr="00296F5C">
        <w:rPr>
          <w:b/>
          <w:noProof/>
          <w:sz w:val="28"/>
          <w:szCs w:val="28"/>
        </w:rPr>
        <w:t>III.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 xml:space="preserve">EU-nak és a tagállamoknak </w:t>
      </w:r>
      <w:r w:rsidRPr="00296F5C">
        <w:rPr>
          <w:b/>
          <w:noProof/>
          <w:sz w:val="28"/>
          <w:szCs w:val="28"/>
        </w:rPr>
        <w:t>„Gondolkozz előbb kicsiben!” elv mentén, a kkv-k sajátosságainak figyelembevételével kell kidolgozniuk a szabályokat, továbbá egyszerűsíteniük kell a meglévő szabályozási környezeten.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kkv-k az adminisztratív előírásoknak való megfelelést érzik a legnagyobb tehernek.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Tény, hogy a nagyvállalatokkal összehasonlításban a kkv-k aránytalanul nagy szabályozási és adminisztratív tehernek vannak kitéve.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Becslések szerint míg egy nagyvállalat alkalmazottanként 1 eurót költ a </w:t>
      </w:r>
      <w:r w:rsidRPr="00296F5C">
        <w:rPr>
          <w:noProof/>
          <w:sz w:val="28"/>
          <w:szCs w:val="28"/>
        </w:rPr>
        <w:lastRenderedPageBreak/>
        <w:t>szabályozási kötelezettségekre, addig a kisvállalkozások esetében ez az érték átlagosan akár 10 euróra is rúghat</w:t>
      </w:r>
      <w:r w:rsidRPr="00296F5C">
        <w:rPr>
          <w:rStyle w:val="Lbjegyzet-hivatkozs"/>
          <w:noProof/>
          <w:sz w:val="28"/>
          <w:szCs w:val="28"/>
        </w:rPr>
        <w:footnoteReference w:id="12"/>
      </w:r>
      <w:r w:rsidRPr="00296F5C">
        <w:rPr>
          <w:noProof/>
          <w:sz w:val="28"/>
          <w:szCs w:val="28"/>
        </w:rPr>
        <w:t>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Európai Unióban a kkv-k 36 %-a találta úgy, hogy az elmúlt két év során az adminisztratív terhek akadályozták üzleti tevékenységüket.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28"/>
      </w:tblGrid>
      <w:tr w:rsidR="00262E48" w:rsidRPr="00296F5C" w:rsidTr="00F50244">
        <w:tc>
          <w:tcPr>
            <w:tcW w:w="9228" w:type="dxa"/>
          </w:tcPr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Annak érdekében, hogy a jövőben meghozandó szabályok eleget tegyenek a „Gondolkozz előbb kicsiben!” elvnek,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fokozottabb figyelet fordít arra, hogy </w:t>
            </w:r>
            <w:r w:rsidRPr="00296F5C">
              <w:rPr>
                <w:sz w:val="28"/>
                <w:szCs w:val="28"/>
              </w:rPr>
              <w:t>a jövőbeli jogszabályalkotási és igazgatási kezdeményezések megfeleljenek a szubszidiaritás és az arányosság elvének alkalmazásáról szóló jegyzőkönyvnek;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vállalkozásokat érintő rendeletekhez és a határozatokhoz egységes hatálybalépési időpontot fog alkalmazni minden olyan esetben, amikor ezt gyakorlati szempontok indokolják, továbbá kimutatást fog készíteni az adott évben hatályba lépő ilyen jellegű jogszabályokról;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 feltett szándéka, a tagállamok pedig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biztosítsák, hogy a szakpolitika a vállalkozások költségeinek és a terheinek minimalizálását szem előtt tartva hozza meg az eredményeit, amihez az eszközöket, mint a kölcsönös elismerés és a közös szabályalkotás, körültekintően válogatják össze a célok elérése érdekében;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szigorú elemzésnek vessék alá a kkv-kra vonatkozó jogszabályalkotási és igazgatási kezdeményezéseket („kkv-teszt”), és az így kapott eredményeket beépítsék a javaslatokba;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bármilyen, a vállalkozásokat érintő jogalkotási vagy igazgatási javaslat megtételét legalább 8 héttel megelőzően egyeztessenek az érintett felekkel, ideértve a kkv-k szervezeteit is;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a mikro- és kisvállalkozások vonatkozásában </w:t>
            </w:r>
            <w:r w:rsidRPr="00296F5C">
              <w:rPr>
                <w:noProof/>
                <w:sz w:val="28"/>
                <w:szCs w:val="28"/>
              </w:rPr>
              <w:t xml:space="preserve">alkalmazzanak </w:t>
            </w:r>
            <w:r w:rsidRPr="00296F5C">
              <w:rPr>
                <w:sz w:val="28"/>
                <w:szCs w:val="28"/>
              </w:rPr>
              <w:t>különleges eszközöket és egyéb testreszabott megközelítéseket, például mentességeket, átmeneti időszakokat és kivételeket, főként a tájékoztatási és beszámolási kötelezettségek alól, továbbá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mérlegeljék a hasznosságát a jogszabályok egységesített hatálybaléptetési időpontjának, illetve a hatályba lépő jogszabályokról készített éves </w:t>
            </w:r>
            <w:r w:rsidRPr="00296F5C">
              <w:rPr>
                <w:noProof/>
                <w:sz w:val="28"/>
                <w:szCs w:val="28"/>
              </w:rPr>
              <w:lastRenderedPageBreak/>
              <w:t>kimutatásnak;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közösségi jogszabályok végrehajtása során használják ki a kkv-kra alkalmazható rugalmassági rendelkezéseket, és kerüljék a nemzeti túlszabályozást.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szabályozási környezetnek a „Gondolkozz előbb kicsiben!” elv szerinti javítása érdekében</w:t>
            </w:r>
          </w:p>
          <w:p w:rsidR="00262E48" w:rsidRPr="00296F5C" w:rsidRDefault="00262E48">
            <w:pPr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elő fog terjeszteni minden olyan javaslatot, amely a vállalkozásokat sújtó adminisztratív teher csökkentésére irányul, hogy 2012-re teljesíthető legyen az EU által megfogalmazott 25 %-os csökkentésre vonatkozó cél.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2008 végére az </w:t>
            </w:r>
            <w:r w:rsidRPr="00296F5C">
              <w:rPr>
                <w:i/>
                <w:noProof/>
                <w:sz w:val="28"/>
                <w:szCs w:val="28"/>
              </w:rPr>
              <w:t>acquis</w:t>
            </w:r>
            <w:r w:rsidRPr="00296F5C">
              <w:rPr>
                <w:noProof/>
                <w:sz w:val="28"/>
                <w:szCs w:val="28"/>
              </w:rPr>
              <w:t xml:space="preserve"> egészét átvilágítja, az eredményeket pedig beépíti a jogszabályok egyszerűsítést célzó gördülő program 2009-ben előterjesztendő frissített változatába.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A Bizottság megkülönböztetett figyelmet szentel majd az olyan javaslatok feltárására, amelyek esetében lehetőség nyílik a jogszabályok egyszerűsítésére a kkv-k érdekében, ideértve különösen a társasági jogot, továbbá</w:t>
            </w:r>
          </w:p>
          <w:p w:rsidR="00262E48" w:rsidRPr="00296F5C" w:rsidRDefault="00262E48">
            <w:pPr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tagállamok felkérést kapnak arra, hogy</w:t>
            </w:r>
            <w:r w:rsidRPr="00296F5C">
              <w:rPr>
                <w:b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tűzzenek ki, ha még nem tették meg, hasonlóan ambiciózus célokat, mint az adminisztratív teher 25 %-kal történő csökkentése EU-szinten 2012-ig, és valósítsák meg ezeket;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gondoskodjanak arról, hogy a közösségi jogszabályok okozta adminisztratív teher csökkentésére irányuló javaslatokat gyorsan elfogadják;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fogadják el a bizottsági javaslatot, amely alapján a tagállamoknak lehetőségük lenne a HÉA-regisztráció küszöbértékét 100 000 EUR-ra növelniük.</w:t>
            </w:r>
          </w:p>
        </w:tc>
      </w:tr>
    </w:tbl>
    <w:p w:rsidR="00262E48" w:rsidRPr="00296F5C" w:rsidRDefault="00262E48">
      <w:pPr>
        <w:rPr>
          <w:sz w:val="28"/>
          <w:szCs w:val="28"/>
        </w:rPr>
      </w:pPr>
    </w:p>
    <w:p w:rsidR="00262E48" w:rsidRPr="00296F5C" w:rsidRDefault="00262E48" w:rsidP="00FB2971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ind w:left="851" w:hanging="851"/>
        <w:rPr>
          <w:b/>
          <w:sz w:val="28"/>
          <w:szCs w:val="28"/>
        </w:rPr>
      </w:pPr>
      <w:r w:rsidRPr="00296F5C">
        <w:rPr>
          <w:b/>
          <w:noProof/>
          <w:sz w:val="28"/>
          <w:szCs w:val="28"/>
        </w:rPr>
        <w:t>IV.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 xml:space="preserve">EU-nak és a tagállamoknak </w:t>
      </w:r>
      <w:r w:rsidRPr="00296F5C">
        <w:rPr>
          <w:b/>
          <w:noProof/>
          <w:sz w:val="28"/>
          <w:szCs w:val="28"/>
        </w:rPr>
        <w:t>úgy kell átalakítaniuk a közigazgatási rendszereket, hogy azok megfeleljenek a kkv-k szükségleteinek, a lehető legegyszerűbbé téve a kkv-k mindennapjait, konkrétan az e-kormányzat és az egyablakos ügyintézés megoldásain keresztül.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modern és a vállalkozások igényeire nagyobb figyelmet fordító közigazgatás nagy mértékben hozzájárulhat a kkv-k sikeréhez és növekedéséhez azáltal, hogy időt és pénzt takarít meg számukra, ami által az innovációra és a munkahelyek létesítésére fordítható források szabadulnak fel.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e-kormányzat és az egyablakos ügyintézés nagyban hozzájárulhatnak a szolgáltatás minőségének javításához és a költségek csökkentéséhez.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lastRenderedPageBreak/>
        <w:t>A szolgáltatási irányelv folyamatban lévő végrehajtása hozzájárul majd a kkv-k életének megkönnyítéséhez, és előírja a tagállamok számára, hogy hozzanak létre egyablakos ügyintézési pontokat, hogy csökkentsék az engedélyeztetési eljárások számát, és enyhítsenek ezek követelményein, továbbá számolják fel a szolgáltatási tevékenységek fejlődését gátló akadályokat.</w:t>
      </w:r>
      <w:r w:rsidRPr="00296F5C">
        <w:rPr>
          <w:color w:val="000000"/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irányelv arra is lehetőséget nyújt, hogy az abban foglalt követelményeken túlmenően is felgyorsítsák az üzleti tevékenységek beindítását.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2"/>
      </w:tblGrid>
      <w:tr w:rsidR="00262E48" w:rsidRPr="00296F5C" w:rsidTr="00F50244">
        <w:tc>
          <w:tcPr>
            <w:tcW w:w="9212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az EU legjobban teljesítő országainak mintájára csökkentsék a tagállami közigazgatások által a cégbejegyzési eljárásért felszámított díjakat;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ahol még nem sikerült elérni, hogy kevesebb mint egy hét alatt céget lehessen alapítani, ott folytassák az erre irányuló munkát;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az üzleti tevékenység folytatásához szükséges jogosítványok és engedélyek számának csökkentésével és egyszerűsítésével gyorsítsák fel a kkv-k kereskedelmi tevékenységének megkezdését;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Konkrétan a tagállamok 1 hónapos határidőt írhatnának elő az ilyen jogosítványok és engedélyek kiadására azon esetek kivételével, amikor az emberek vagy a környezet komoly kockázatnak vannak kitéve.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kerüljék el azt, hogy a kkv-któl olyan információkat kérjenek be, amelyek már egyébként is elérhetőek a közigazgatás rendszereiben, kivéve amikor az adatok frissítésére van szükség 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gondoskodjanak arról, hogy a mikrovállalkozásokat háromévente legfeljebb egyszer kérjék fel az állami, a regionális vagy helyi statisztikai hivatal felelősségi körébe tartozó statisztikai felmérésekben való részvételre, feltéve, hogy a statisztikai vagy egyéb adatok nyilvántartása nem teszi ezt szükségessé;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jelöljenek ki olyan kapcsolattartó pontot, amelyen keresztül az érintett felek jelezhetik, hogy mely szabályokról, illetve eljárásokról gondolják úgy, hogy aránytalanok vagy szükségtelenül hátráltatják a kkv-k tevékenységét;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gondoskodjanak a szolgáltatási irányelv időben történő, maradéktalan végrehajtásáról, ideértve az egyablakos ügyintézés kapcsolattartó pontjainak felállítását, amelyeken keresztül a vállalkozások minden őket érintő információhoz hozzájuthatnak és minden szükséges eljárást és ügyintézést elektronikus úton bonyolíthatnak.</w:t>
            </w:r>
          </w:p>
        </w:tc>
      </w:tr>
    </w:tbl>
    <w:p w:rsidR="00262E48" w:rsidRPr="00296F5C" w:rsidRDefault="00262E48">
      <w:pPr>
        <w:rPr>
          <w:sz w:val="28"/>
          <w:szCs w:val="28"/>
        </w:rPr>
      </w:pPr>
    </w:p>
    <w:p w:rsidR="00C93BB5" w:rsidRPr="00296F5C" w:rsidRDefault="00C93BB5">
      <w:pPr>
        <w:rPr>
          <w:sz w:val="28"/>
          <w:szCs w:val="28"/>
        </w:rPr>
      </w:pPr>
      <w:r w:rsidRPr="00296F5C">
        <w:rPr>
          <w:sz w:val="28"/>
          <w:szCs w:val="28"/>
        </w:rPr>
        <w:br w:type="page"/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V.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i/>
          <w:noProof/>
          <w:sz w:val="28"/>
          <w:szCs w:val="28"/>
        </w:rPr>
        <w:t xml:space="preserve">Az EU-nak és a tagállamoknak </w:t>
      </w:r>
      <w:r w:rsidRPr="00296F5C">
        <w:rPr>
          <w:b/>
          <w:noProof/>
          <w:sz w:val="28"/>
          <w:szCs w:val="28"/>
        </w:rPr>
        <w:t>hozzá kell igazítaniuk a szakpolitikai eszköztárat a kkv-k szükségleteihez.</w:t>
      </w:r>
      <w:r w:rsidR="004B1047" w:rsidRPr="00296F5C">
        <w:rPr>
          <w:b/>
          <w:sz w:val="28"/>
          <w:szCs w:val="28"/>
        </w:rPr>
        <w:tab/>
      </w:r>
      <w:r w:rsidR="004B1047" w:rsidRPr="00296F5C">
        <w:rPr>
          <w:b/>
          <w:sz w:val="28"/>
          <w:szCs w:val="28"/>
        </w:rPr>
        <w:br/>
      </w:r>
      <w:r w:rsidR="004B1047" w:rsidRPr="00296F5C">
        <w:rPr>
          <w:b/>
          <w:sz w:val="28"/>
          <w:szCs w:val="28"/>
        </w:rPr>
        <w:tab/>
      </w:r>
      <w:r w:rsidR="004B1047" w:rsidRPr="00296F5C">
        <w:rPr>
          <w:b/>
          <w:sz w:val="28"/>
          <w:szCs w:val="28"/>
        </w:rPr>
        <w:br/>
      </w:r>
      <w:r w:rsidRPr="00296F5C">
        <w:rPr>
          <w:b/>
          <w:noProof/>
          <w:sz w:val="28"/>
          <w:szCs w:val="28"/>
        </w:rPr>
        <w:t>Hasznosítaniuk kellene a legjobb gyakorlatok kódexét, amely útmutatóként szolgál az ajánlatkérők számára a tekintetben, hogy miként alkalmazzák az EK közbeszerzési keretét oly módon, hogy az megkönnyítse a kkv-k részvételét a közbeszerzési eljárásokban.</w:t>
      </w:r>
      <w:r w:rsidR="004B1047" w:rsidRPr="00296F5C">
        <w:rPr>
          <w:b/>
          <w:noProof/>
          <w:sz w:val="28"/>
          <w:szCs w:val="28"/>
        </w:rPr>
        <w:tab/>
      </w:r>
      <w:r w:rsidR="004B1047" w:rsidRPr="00296F5C">
        <w:rPr>
          <w:b/>
          <w:noProof/>
          <w:sz w:val="28"/>
          <w:szCs w:val="28"/>
        </w:rPr>
        <w:br/>
      </w:r>
      <w:r w:rsidRPr="00296F5C">
        <w:rPr>
          <w:b/>
          <w:sz w:val="28"/>
          <w:szCs w:val="28"/>
        </w:rPr>
        <w:br/>
      </w:r>
      <w:r w:rsidRPr="00296F5C">
        <w:rPr>
          <w:b/>
          <w:noProof/>
          <w:sz w:val="28"/>
          <w:szCs w:val="28"/>
        </w:rPr>
        <w:t>Annak érdekében, hogy orvosolni tudják azokat a piaci elégtelenségeket, amelyekkel a kkv-k teljes életciklusuk alatt kénytelenek szembenézni, a tagállamoknak jobban ki kellene használni az állami támogatásokra vonatkozó közösségi szabályok kínálta lehetőségeket a kezdő vállalkozások támogatására és a kkv-k ösztönzésére.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EU GDP-jének 16 %-át kitevő közbeszerzési piacokon való részvételük során a kkv-k akadályokba ütköznek, aminek gyakran egyszerűen csak az oka, hogy a kisebb vállalkozások nem ismerik a lehetőségeket, illetve az eljárások bonyolultsága miatt távol maradnak, és mert az állami hatóságok kényelmesebbnek találják, ha bizonyos megrendeléseket a referenciákkal rendelkező nagyvállalatoknak ítélnek oda ahelyett, hogy fiatal, innovatív vállalkozásokat bíznának meg velük.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Ennek ellenére 2005-ben a közösségi értékhatárt meghaladó közbeszerzési megrendelések 42 %-át kkv-knak ítélték oda</w:t>
      </w:r>
      <w:r w:rsidRPr="00296F5C">
        <w:rPr>
          <w:rStyle w:val="Lbjegyzet-hivatkozs"/>
          <w:noProof/>
          <w:sz w:val="28"/>
          <w:szCs w:val="28"/>
        </w:rPr>
        <w:footnoteReference w:id="13"/>
      </w:r>
      <w:r w:rsidRPr="00296F5C">
        <w:rPr>
          <w:noProof/>
          <w:sz w:val="28"/>
          <w:szCs w:val="28"/>
        </w:rPr>
        <w:t>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Mindazonáltal további jelentős erőfeszítéseket kell tenni a kkv-kat a közbeszerzési piacoktól továbbra is távoltartó akadályok leépítése érdekében, amit különösen az ajánlatkérők által az közbeszerzési eljárásokban megszabott követelmények enyhítésével lehet elérni.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állami támogatás a kkv-kat teljes életciklusukon keresztül segítheti.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Jelenleg a kkv-k a rendelkezésre álló támogatási lehetőségek nem megfelelő kihasználása miatt a lehetséges állami támogatásnak csak a töredékéhez jutnak hozzá.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Ennek számos oka van: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egyrészt a hatóságok nem minden esetben veszik igénybe az összes, a közösségi szabályok alapján megengedhető támogatási eszközt a kkv-k javára;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másrészt az eljárások gyakran túl hosszadalmasak és bonyolultak a kkv-k számára;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harmadrészt pedig a kkv-k gyakran nem rendelkeznek megfelelő információkkal a számukra elérhető támogatási formákról.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3"/>
      </w:tblGrid>
      <w:tr w:rsidR="00262E48" w:rsidRPr="00296F5C" w:rsidTr="00F50244">
        <w:tc>
          <w:tcPr>
            <w:tcW w:w="9213" w:type="dxa"/>
          </w:tcPr>
          <w:p w:rsidR="00262E48" w:rsidRPr="00296F5C" w:rsidRDefault="00262E48">
            <w:pPr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előterjeszti majd az ajánlatkérők számára készített, önkéntes alapon </w:t>
            </w:r>
            <w:r w:rsidRPr="00296F5C">
              <w:rPr>
                <w:noProof/>
                <w:sz w:val="28"/>
                <w:szCs w:val="28"/>
              </w:rPr>
              <w:lastRenderedPageBreak/>
              <w:t>követhető, bevált gyakorlatok kódexét, amellyel a közbeszerzési szokások megváltozását kívánja elérni.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A kódex útmutatóul fog szolgálni ahhoz, hogy miként lehet visszaszorítani a bürokráciát, növelni az átláthatóságot és a tájékozottságot, továbbá egyenlő feltételeket biztosítani a kkv-k számára.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folytatni fogja a közbeszerzési lehetőségekkel kapcsolatos információk hozzáférhetőségének javítását, aminek érdekében a közbeszerzéssel kapcsolatos közösségi honlapokat például olyan kezdeményezésekkel egészíti ki, mint az értékhatár alatti beszerzések szerződési hirdetményeinek közzététele lehetősége, vagy az üzleti partnerek keresésére szolgáló online eszköz kidolgozása, továbbá a közbeszerzési eljárásokban való részvételi feltételek átláthatóbbá tétele.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tájékoztatót fog kiadni a kkv-knak nyújtott állami támogatásokról, hogy javítsa a létező támogatási lehetőségekkel kapcsolatos tájékozottságot.</w:t>
            </w:r>
          </w:p>
          <w:p w:rsidR="00262E48" w:rsidRPr="00296F5C" w:rsidRDefault="00262E48">
            <w:pPr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hozzanak létre elektronikus portálokat, amelyeken keresztül a közösségi értékhatár alatti közbeszerzésekkel kapcsolatos információk szélesebb körben elérhetővé válnak;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ösztönözzék az ajánlatkérőket arra, hogy amennyiben helyénvaló, bontsák a szerződéseket tételekre, és tegyék világosabbá az alvállalkozóként való részvételi lehetőségeket;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emlékeztessék az ajánlatkérőket arra, hogy kötelességük elkerülni aránytalanul magas minősítési és pénzügyi követelmények kikötését;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ösztönözzék az építő jellegű párbeszéd és a kölcsönös megértés kialakulását a kkv-k és a nagy beszerzők között, amit a tájékoztatáson, a képzésen, a monitoringon és a bevált gyakorlatok cseréjén keresztül valósíthatnak meg;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alakítsák át az állami támogatásokkal kapcsolatos politikájukat úgy, hogy az jobban figyelembe vegye a kkv-k szükségleteit, és ennek részeként dolgozzanak ki célirányosabb eszközöket.</w:t>
            </w:r>
          </w:p>
        </w:tc>
      </w:tr>
    </w:tbl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ind w:left="851" w:hanging="851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lastRenderedPageBreak/>
        <w:t>VI.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 xml:space="preserve">EU-nak és a tagállamoknak </w:t>
      </w:r>
      <w:r w:rsidRPr="00296F5C">
        <w:rPr>
          <w:b/>
          <w:noProof/>
          <w:sz w:val="28"/>
          <w:szCs w:val="28"/>
        </w:rPr>
        <w:t>könnyebbé kell tenniük a kkv-k forráshoz jutását, különösen a kockázati tőke, a mikrohitelek és a mezzanine finanszírozási formákhoz való hozzáférést, továbbá olyan jogi és üzleti környezetet kell kialakítaniuk, amely hozzájárul a kereskedelmi tranzakciókhoz kapcsolódó fizetések időben történő teljesüléséhez.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megfelelő finanszírozási formához való hozzáférés komoly nehézséget okozhat a vállalkozónak és a kkv-nek, így az az adminisztratív terhek után a második helyen szerepel a kkv-k gondjai között.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A helyzet az EU által nyújtott támogatás ellenére is így néz ki, pedig például a versenyképességi és innovációs </w:t>
      </w:r>
      <w:r w:rsidRPr="00296F5C">
        <w:rPr>
          <w:noProof/>
          <w:sz w:val="28"/>
          <w:szCs w:val="28"/>
        </w:rPr>
        <w:lastRenderedPageBreak/>
        <w:t>keretprogram (VIK) több mint 1 milliárd EUR-t biztosít a kkv-k finanszírozáshoz jutására, amelynek nagy része az EBB-csoporton keresztül válik elérhetővé.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2013-ig a kohéziós politika mintegy 27 milliárd EUR-t kifejezetten a kkv-k támogatására fordít.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Megközelítőleg 10 milliárd EUR áll rendelkezésre pénzügyi tervezési eszközökön keresztül, ideértve a JEREMIE programot, és mintegy 3,1 milliárd EUR kockázati tőke formájában elérhető támogatást.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Európai Mezőgazdasági Vidékfejlesztési Alap szintén támogatást nyújt a kkv-knak, hiszen elősegíti többek között a vállalkozóvá válást, és ösztönzi a vidéki területek gazdasági diverzifikációját.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kockázatkerülés miatt a befektetők és a bankok gyakran távol maradnak a kezdő vagy a korai növekedés szakaszában lévő vállalkozások finanszírozásától.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kkv-finanszírozás piacának esetleges elégtelenségeit fel kell tárni és korrigálni kell annak érdekében, hogy az európai kockázatitőke-piacok továbbfejlődhessenek, illetve, hogy a kkv-k könnyebben juthassanak mikrohitelhez és mezzanine finanszírozáshoz, valamint, hogy új termékek és szolgáltatások fejlődhessenek ki.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Sok vállalkozónak ezen felül útmutatásra és oktatásra van szüksége a különböző finanszírozási formák előnyeiről és hátrányairól, továbbá arról, hogy miként terjesszék elő projektjavaslataikat a lehetséges finanszírozóknak.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kkv-k ráadásul gyakran küzdenek a rossz tőkeellátottság problémájával, amit tovább súlyosbít a késedelmes fizetések Európában meghonosodott kultúrája.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Tény, hogy országtól függően a kkv-knak átlagosan 20-tól akár 100-nál is több napig kell várniuk számláik teljesítésére.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Minden negyedik fizetésképtelenség mögött a késedelmes fizetés húzódik meg.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 évente 450 000 munkahely és 25 milliárd EUR elvesztését eredményezi.</w:t>
      </w:r>
    </w:p>
    <w:p w:rsidR="00C93BB5" w:rsidRPr="00296F5C" w:rsidRDefault="00262E48">
      <w:pPr>
        <w:rPr>
          <w:noProof/>
          <w:sz w:val="28"/>
          <w:szCs w:val="28"/>
        </w:rPr>
      </w:pPr>
      <w:r w:rsidRPr="00296F5C">
        <w:rPr>
          <w:noProof/>
          <w:sz w:val="28"/>
          <w:szCs w:val="28"/>
        </w:rPr>
        <w:t>A Bizottság egyetért az Európai Beruházási Bank Csoport (azaz az EBB és az EBA) értékelésével, amely szerint szükség van a kkv-k finanszírozáshoz jutási feltételeinek javítására, és így üdvözli a Csoport erőfeszítéseit, amelyeket meglévő termékeinek modernizálása, alkalmazásuk egyszerűsítése és felhasználási területük szélesítése érdekében tesz 2008 óta.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A Bizottság melegen </w:t>
      </w:r>
      <w:r w:rsidRPr="00296F5C">
        <w:rPr>
          <w:i/>
          <w:noProof/>
          <w:sz w:val="28"/>
          <w:szCs w:val="28"/>
        </w:rPr>
        <w:t>üdvözli</w:t>
      </w:r>
      <w:r w:rsidRPr="00296F5C">
        <w:rPr>
          <w:noProof/>
          <w:sz w:val="28"/>
          <w:szCs w:val="28"/>
        </w:rPr>
        <w:t xml:space="preserve"> a EBB Csoport által 40 millió EUR-s (amelyből 16 millió EUR fog az EBB-től származni) kezdőtőkével létrehozott „Microfund”-ot („Mikroalap”), amely olyan nem banki intézményeket fog támogatni, amelyek a Bizottság új mikrohitelezési kezdeményezésének keretében mikrofinanszírozással foglalkoznak.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Bizottság helyesli továbbá az EBB azon elképzelését, amely egy önálló mezzanine finanszírozási keret létrehozására irányul a kkv-szektor alsó szegmense számára, továbbá azokat a terveket, amelyek olyan sajátos, kockázatmegosztási pénzügyi eszközök létrehozására irányulnak a kereskedelmi bankok bevonásával, amelyek megfelelnek a gyorsan növekvő innovatív kkv-k és a közepesen feltőkésített vállalkozások szükségleteinek, és választ adnak a feltárt piaci elégtelenségekre.</w:t>
      </w:r>
    </w:p>
    <w:p w:rsidR="00262E48" w:rsidRPr="00296F5C" w:rsidRDefault="00C93BB5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br w:type="page"/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3"/>
      </w:tblGrid>
      <w:tr w:rsidR="00262E48" w:rsidRPr="00296F5C" w:rsidTr="00F50244">
        <w:tc>
          <w:tcPr>
            <w:tcW w:w="9212" w:type="dxa"/>
            <w:tcBorders>
              <w:top w:val="single" w:sz="4" w:space="0" w:color="auto"/>
            </w:tcBorders>
          </w:tcPr>
          <w:p w:rsidR="00262E48" w:rsidRPr="00296F5C" w:rsidRDefault="00262E48">
            <w:pPr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Bizottság</w:t>
            </w:r>
            <w:r w:rsidRPr="00296F5C">
              <w:rPr>
                <w:b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értékelni fogja, hogy milyen lehetőségek állnak rendelkezésre a határon átnyúló magántőke kihelyezések könnyebbé tétele érdekében, hogy megerősítse az európai kockázatitőke-piacokat;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támogatást nyújt a tagállamok részére ahhoz, hogy kidolgozhassák magas színvonalú, </w:t>
            </w:r>
            <w:r w:rsidRPr="00296F5C">
              <w:rPr>
                <w:i/>
                <w:noProof/>
                <w:sz w:val="28"/>
                <w:szCs w:val="28"/>
              </w:rPr>
              <w:t xml:space="preserve">befektetésre felkészítő programjaikat </w:t>
            </w:r>
            <w:r w:rsidRPr="00296F5C">
              <w:rPr>
                <w:noProof/>
                <w:sz w:val="28"/>
                <w:szCs w:val="28"/>
              </w:rPr>
              <w:t>(„investment readiness programmes”).</w:t>
            </w:r>
          </w:p>
        </w:tc>
      </w:tr>
      <w:tr w:rsidR="00262E48" w:rsidRPr="00296F5C" w:rsidTr="00F50244">
        <w:trPr>
          <w:trHeight w:val="3579"/>
        </w:trPr>
        <w:tc>
          <w:tcPr>
            <w:tcW w:w="9213" w:type="dxa"/>
            <w:tcBorders>
              <w:bottom w:val="single" w:sz="4" w:space="0" w:color="auto"/>
            </w:tcBorders>
          </w:tcPr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dolgozzanak ki olyan finanszírozási programokat, amelyek áthidalják az 100 000 és az 1 millió EUR közötti finanszírozási szakadékot, elsősorban a kölcsöntőke és sajáttőke elemeit vegyítő eszközök alkalmazásával, betartva ugyanakkor az állami támogatásra vonatkozó szabályokat;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találjanak megoldást azokra a szabályozási és adózási akadályokra, amelyek gátolják az egységes piacon működő kockázatitőke-alapokat abban, hogy ugyanolyan feltételek mellett fektessenek be, mint a hazai alapok;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 azt, hogy vállalati nyereség adóztatása ösztönözze a befektetéseket;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 w:rsidP="00F50244">
            <w:pPr>
              <w:pStyle w:val="Felsorols"/>
              <w:spacing w:before="0" w:after="0"/>
              <w:ind w:left="284" w:hanging="284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teljes mértékben használják ki a kohéziós politika programjai és az Európai Mezőgazdasági Vidékfejlesztési Alap keretében a kkv-k támogatására rendelkezésre álló forrásokat.</w:t>
            </w:r>
          </w:p>
        </w:tc>
      </w:tr>
    </w:tbl>
    <w:p w:rsidR="00262E48" w:rsidRPr="00296F5C" w:rsidRDefault="00262E48">
      <w:pPr>
        <w:rPr>
          <w:sz w:val="28"/>
          <w:szCs w:val="28"/>
        </w:rPr>
      </w:pP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VII.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>EU-nak és a tagállamoknak</w:t>
      </w:r>
      <w:r w:rsidRPr="00296F5C">
        <w:rPr>
          <w:b/>
          <w:noProof/>
          <w:sz w:val="28"/>
          <w:szCs w:val="28"/>
        </w:rPr>
        <w:t xml:space="preserve"> ösztönözniük kell a kkv-ket az egységes piac nyújtotta lehetőségek jobb kihasználására, különösen azáltal, hogy javítják az egységes piac irányítását és az ezzel kapcsolatos tájékoztatást, továbbá azáltal, hogy lehetővé teszik a kkv-k érdekeinek jobb képviseletét a szabványok kialakításánál, és megkönnyítik a kkv-k hozzáférést a szabadalmakhoz és védjegyekhez.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egységes piacnak garantálnia kell a vállalkozások részére a több mint 500 millió fogyasztót lefedő, közös szabályrendszer szerint működő, közös piachoz való hozzáférést.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27 különböző szabályrendszer egyetlen EU közös piaci szabályrendszerrel való felváltásából eredő egyszerűsítés különösen előnyös a kkv-k számára.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jól működő egységes piac versenyképes környezetet hoz létre, amelyben a kkv-k jobban előnyükre fordíthatják a globalizációt, amely új lehetőségeket nyit meg a tudás és az innováció terén.</w:t>
      </w:r>
      <w:r w:rsidRPr="00296F5C">
        <w:rPr>
          <w:sz w:val="28"/>
          <w:szCs w:val="28"/>
        </w:rPr>
        <w:t xml:space="preserve"> Jelenleg ugyanakkor a </w:t>
      </w:r>
      <w:r w:rsidRPr="00296F5C">
        <w:rPr>
          <w:sz w:val="28"/>
          <w:szCs w:val="28"/>
        </w:rPr>
        <w:lastRenderedPageBreak/>
        <w:t>kkv-k nem élvezhetik teljes mértékben az egységes piac által nyújtott előnyöket – nagyrészt amiatt, hogy nem áll rendelkezésükre elegendő információ az üzleti lehetőségekről és a más tagállamokban alkalmazandó szabályokról, továbbá hiányosak a nyelvi ismereteik is.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 xml:space="preserve">A különböző nemzeti jogrendszereknek való megfeleléssel járó költségek és kockázatok gyakran visszatartják a vállalkozásokat attól, hogy tevékenységüket külföldre is kiterjesszék.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sz w:val="28"/>
          <w:szCs w:val="28"/>
        </w:rPr>
        <w:t>A kkv-k számára hathatós támogatás nyújtható tanácsadás és a kapcsolatépítés elősegítése formájában, amibe beletartozik a tisztességtelen kereskedelmi gyakorlatokkal szembeni védekezéshez nyújtott segítség is.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>A Bizottság által nemrégiben útjára indított Enterprise Europe Network</w:t>
      </w:r>
      <w:r w:rsidRPr="00296F5C">
        <w:rPr>
          <w:rStyle w:val="Lbjegyzet-hivatkozs"/>
          <w:sz w:val="28"/>
          <w:szCs w:val="28"/>
        </w:rPr>
        <w:footnoteReference w:id="14"/>
      </w:r>
      <w:r w:rsidRPr="00296F5C">
        <w:rPr>
          <w:sz w:val="28"/>
          <w:szCs w:val="28"/>
        </w:rPr>
        <w:t xml:space="preserve"> (európai vállalkozási hálózat) többek között például alkalmas arra, hogy az egységes piac kínálta lehetőségekkel kapcsolatos tájékoztatás és tanácsadás formájában segítse a kkv-kat.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sz w:val="28"/>
          <w:szCs w:val="28"/>
        </w:rPr>
        <w:t>Lehetõvé kell tenni ezenkívül,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 xml:space="preserve">hogy a kkv-k teljes mértékben bekapcsolódhassanak a szabványok kialakításába, és megfelelő hozzáférésük legyen hozzájuk, amibe beletartozik a tanúsítási eljárás is.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Végezetül, mivel a szellemi tulajdonhoz fűződő jogok rendkívül fontosak a kkv-k számára, a Bizottság folytatja munkáját egy hatásos, költséghatékony, magas színvonalú, jogbiztonságot garantáló, európai szintű szabadalmi rendszer megteremtése érdekében, amelynek része a közösségi szabadalom és az EU egészére kiterjedő szabadalmi jog is.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2"/>
      </w:tblGrid>
      <w:tr w:rsidR="00262E48" w:rsidRPr="00296F5C" w:rsidTr="00F50244">
        <w:tc>
          <w:tcPr>
            <w:tcW w:w="9212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Bizottság</w:t>
            </w:r>
            <w:r w:rsidRPr="00296F5C">
              <w:rPr>
                <w:b/>
                <w:i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annak érdekében, hogy a kkv-k élhessenek a meglévő piacnyitási politikák előnyeivel, fokozottabban felügyelni fogja a piacot és az egyes ágazatokat, hogy össze tudja gyűjteni az egységes piac működésével kapcsolatos információkat, fel tudja tárni a piaci elégtelenségeket és be tudjon avatkozni ott, ahol a legnagyobb gazdasági haszon realizálható;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2008-ban cselekvési tervet terjeszt elő az interoperábilis elektronikus aláírás és az elektronikus hitelesítés használatának előmozdítására, továbbá 2009 második negyedévében az összes érintett felet bevonó kezdeményezéseket indít annak érdekében, hogy segítse a kkv-k bekapcsolódását a globális ellátási láncokba;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megnöveli a EU által nyújtott támogatást (a 2008-as 1 millió EUR-ról 2,1 millió EUR-ra 2009-ben), amely arra irányul, hogy elősegítse a kkv-k részvételét és érdekeik érvényesítését a szabványosításban, javítsa az európai szabványokkal kapcsolatos tájékozottságukat, valamint fokozza az európai </w:t>
            </w:r>
            <w:r w:rsidRPr="00296F5C">
              <w:rPr>
                <w:noProof/>
                <w:sz w:val="28"/>
                <w:szCs w:val="28"/>
              </w:rPr>
              <w:lastRenderedPageBreak/>
              <w:t>szabványok használatát;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elérhetőbbé teszi a közösségi védjegyrendszert, amit főképp közösségi védjegy díjainak jelentős csökkentésével valósít meg, ami része a Belsõ Piaci Harmonizációs Hivatal (OHIM) pénzügyi tervezésére adott átfogó megoldásnak;</w:t>
            </w:r>
          </w:p>
          <w:p w:rsidR="00262E48" w:rsidRPr="00296F5C" w:rsidRDefault="00262E48">
            <w:pPr>
              <w:pStyle w:val="Felsorols"/>
              <w:rPr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határon átnyúló kereskedelem kkv-k számára történő megkönnyítése érdekében folytatja munkáját a fogyasztóvédelmi szabályok töredezettségének megszüntetése érdekében, amit részben az adminisztratív terhek csökkentésén keresztül valósít meg.</w:t>
            </w:r>
          </w:p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az európai szabványügyi szervezetek felkérést kapnak, hogy</w:t>
            </w:r>
            <w:r w:rsidRPr="00296F5C">
              <w:rPr>
                <w:b/>
                <w:i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tagállamokkal és a bizottsággal folytatott szoros együttműködésben vizsgálják felül az általuk alkalmazott üzleti modelleket annak érdekében, hogy csökkenthetők legyenek a szabványok hozzáférésének költségei, kezdve azokkal, amelyeket a közösségi szabályozás és politikák támogatására dolgoztak ki;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hozzanak létre egy vagy több „kkv helpdesk”-et, amelyeket a kkv-szervezetek képviselőivel koordinálnak;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rendszeres időközönként, korlátozás nélküli hozzáféréssel és különböző nyelveken tegyenek közzé európai szabványokról készített kivonatokat, amelyek tartalmazzanak jogszabályi hivatkozásokat is;</w:t>
            </w:r>
          </w:p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 a kölcsönös elismerés elvének helyes alkalmazását;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erősítsék meg a SOLVIT</w:t>
            </w:r>
            <w:r w:rsidRPr="00296F5C">
              <w:rPr>
                <w:rStyle w:val="Lbjegyzet-hivatkozs"/>
                <w:noProof/>
                <w:sz w:val="28"/>
                <w:szCs w:val="28"/>
              </w:rPr>
              <w:footnoteReference w:id="15"/>
            </w:r>
            <w:r w:rsidRPr="00296F5C">
              <w:rPr>
                <w:noProof/>
                <w:sz w:val="28"/>
                <w:szCs w:val="28"/>
              </w:rPr>
              <w:t xml:space="preserve"> problémakezelő rendszert, ezáltal biztosítva azt, hogy az egységes piac működésével kapcsolatban felmerülő problémák hivatalos eljárás nélkül, gyorsan és a gyakorlati szempontokat szem előtt tartva orvosolhatók legyenek;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ösztönözzék a szabványügyi szervezeteiket, hogy vizsgálják felül az általuk alkalmazott üzleti modelleket annak érdekében, hogy csökkenthetők legyenek a szabványokhoz való hozzáférés költségei;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biztosítsák azt, hogy a szabványosítási ügyekben eljáró bizottságok összetétele megfelelő;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kérjék fel a tagállami és az európai szabványügyi szervezeteket, hogy a kkv-knak promóciós és tájékoztatási kampányok segítségével ösztönözzék a kkv-kat arra, hogy fokozottabb mértékben használják a szabványokat, és adjanak visszajelzést a szabványok tartalmával kapcsolatban;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lastRenderedPageBreak/>
              <w:t>nyújtsanak tanácsadási szolgáltatásokat a kkv-k részére, többek között a célból, hogy azok meg tudják védeni magukat a tisztességtelen kereskedelmi gyakorlatokkal szemben.</w:t>
            </w:r>
          </w:p>
        </w:tc>
      </w:tr>
    </w:tbl>
    <w:p w:rsidR="00262E48" w:rsidRPr="00296F5C" w:rsidRDefault="00262E48">
      <w:pPr>
        <w:rPr>
          <w:sz w:val="28"/>
          <w:szCs w:val="28"/>
        </w:rPr>
      </w:pP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VIII.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>EU-nak és a tagállamoknak</w:t>
      </w:r>
      <w:r w:rsidRPr="00296F5C">
        <w:rPr>
          <w:b/>
          <w:noProof/>
          <w:sz w:val="28"/>
          <w:szCs w:val="28"/>
        </w:rPr>
        <w:t xml:space="preserve"> elő kell segíteniük a kkv-knál dolgozók szaktudásának fejlesztését és az innováció valamennyi formáját.</w:t>
      </w:r>
      <w:r w:rsidRPr="00296F5C">
        <w:rPr>
          <w:b/>
          <w:sz w:val="28"/>
          <w:szCs w:val="28"/>
        </w:rPr>
        <w:t xml:space="preserve"> </w:t>
      </w: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b/>
          <w:sz w:val="28"/>
          <w:szCs w:val="28"/>
        </w:rPr>
      </w:pPr>
      <w:r w:rsidRPr="00296F5C">
        <w:rPr>
          <w:b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>Ösztönözniük kell a kkv-k kutatási ráfordításait, valamint a különböző K+F programokban, transznacionális kutatásokban, klaszterek kialakításában való részvételüket, továbbá a szellemi tulajdonhoz fűződő jogok aktív menedzselését.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sz w:val="28"/>
          <w:szCs w:val="28"/>
        </w:rPr>
        <w:t>A konzultációban részt vett vállalkozások több mint 60 %-a találja úgy, hogy az iskolai képzés nem vértez fel azokkal a készségekkel, amelyekre a vállalkozóknak és alkalmazottaiknak szükségük van.</w:t>
      </w:r>
      <w:r w:rsidRPr="00296F5C">
        <w:rPr>
          <w:noProof/>
          <w:sz w:val="28"/>
          <w:szCs w:val="28"/>
        </w:rPr>
        <w:t xml:space="preserve"> </w:t>
      </w:r>
      <w:r w:rsidRPr="00296F5C">
        <w:rPr>
          <w:sz w:val="28"/>
          <w:szCs w:val="28"/>
        </w:rPr>
        <w:t xml:space="preserve">Ez az eredmény rávilágít arra a társadalmi szükségletre, hogy a fiataloknak mindig át kell adni az olyan létfontosságú készségeket, illetve ismereteket, mint az olvasás, az írás, a természettudományos, menedzsment, műszaki, informatikai és nyelvi ismeretek, továbbá lehetővé kell tenni számukra, hogy kibontakoztassák kreativitásukat. </w:t>
      </w:r>
      <w:r w:rsidRPr="00296F5C">
        <w:rPr>
          <w:noProof/>
          <w:sz w:val="28"/>
          <w:szCs w:val="28"/>
        </w:rPr>
        <w:t>A kkv-kat különösen az új technológiákban jártas szakemberek hiánya érinti rosszul.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élethosszig tartó tanulás kulcskompetenciának közös európai referenciakeretét</w:t>
      </w:r>
      <w:r w:rsidRPr="00296F5C">
        <w:rPr>
          <w:rStyle w:val="Lbjegyzet-hivatkozs"/>
          <w:noProof/>
          <w:sz w:val="28"/>
          <w:szCs w:val="28"/>
        </w:rPr>
        <w:footnoteReference w:id="16"/>
      </w:r>
      <w:r w:rsidRPr="00296F5C">
        <w:rPr>
          <w:noProof/>
          <w:sz w:val="28"/>
          <w:szCs w:val="28"/>
        </w:rPr>
        <w:t>, amely minden fiatal számára meg kívánja adni a szükséges alapvető ismereteket, ebben az összefüggésben kell végrehajtani 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európai kohéziós politika 2007–2013 között mintegy 13,5 millió EUR-val támogatja a munkavállalók, vállalkozók és a vállalkozások alkalmazkodóképességének előmozdítására irányuló fellépéseket.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összeg jelentős része közvetlenül a kkv-kat célozza meg.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Ezen felül az önfoglalkoztatás és a kezdő üzleti vállalkozások támogatása becslések szerint 2,8 milliárd EUR támogatásban részesül.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Végezetül a Bizottság áttekintést készít arról, hogy milyen készségekre lesz szükség a jövőben az EU-ban.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készségek hiányával összefügg a kihasználatlan kutatási és innovációs potenciál.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2007-ben az EU-ban a kkv-k csupán 30 %-a jelezte azt, hogy új terméket fejlesztettek ki, vagy új termékből származó bevételük lenne.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Ezért fontos a kkv-k jobb integrálása a kutatói közösséghez, valamint az egyetemek és a kkv-k közötti kapcsolatok szorosabbra fonása.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Szükség van továbbá arra is, hogy a kkv-kat a szellemi tulajdonhoz fűződő jogok aktív menedzselésére ösztönözzük, aminek egyik eszköze lehet például az e-számlázás és az e-kormányzat tranzakcióinak lehetővé tétele.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lastRenderedPageBreak/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2"/>
      </w:tblGrid>
      <w:tr w:rsidR="00262E48" w:rsidRPr="00296F5C" w:rsidTr="00F50244">
        <w:trPr>
          <w:trHeight w:val="70"/>
        </w:trPr>
        <w:tc>
          <w:tcPr>
            <w:tcW w:w="9212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Bizottság</w:t>
            </w:r>
            <w:r w:rsidRPr="00296F5C">
              <w:rPr>
                <w:b/>
                <w:i/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Leonardo Da Vinci program keretében 2010-ig kibővíti a gyakornokok mobilitását elősegítő támogatási eszközt;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támogatást nyújt az érintett felek által 2008-ban kidolgozandó online e-készségek és karrier portál létrehozásához, amely lehetővé teszi a vállalkozások számára, hogy felmérjék, mely e</w:t>
            </w:r>
            <w:r w:rsidRPr="00296F5C">
              <w:rPr>
                <w:noProof/>
                <w:sz w:val="28"/>
                <w:szCs w:val="28"/>
              </w:rPr>
              <w:noBreakHyphen/>
              <w:t>készségekre van szükségük és miként tudnák alkalmazottaik karrierjét és képzettségét fejleszteni.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A Bizottság továbbá 2008-ban online útmutatót tesz közzé (e-Business Guide), amely segítséget nyújt a kkv-knak ahhoz, hogy felmérjék szükségleteiket az elektronikus ügyvitel terén;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rFonts w:ascii="Arial" w:hAnsi="Arial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az egyszerűsítésen, jobb tájékoztatáson és magasabb finanszírozási arányok alkalmazásán keresztül folytatni fogja a kkv-k a 7.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KTF Keretprogramban (FP7) való részvételének optimalizálására irányuló erőfeszítéseit;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rFonts w:ascii="Arial" w:hAnsi="Arial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ösztönzi a kkv-k növekedését azáltal, hogy biztosítja, hogy az FP7-es projektben résztvevő kkv-k a projekt teljes időszakában élvezhessék a kkv-knek járó elbánás előnyeit akkor is, ha az időszak alatt kinövik a kkv-szintet;</w:t>
            </w:r>
          </w:p>
          <w:p w:rsidR="00262E48" w:rsidRPr="00296F5C" w:rsidRDefault="00262E48">
            <w:pPr>
              <w:pStyle w:val="Felsorols"/>
              <w:rPr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egyszerűsíteni fogja a tagállamokra vonatkozó állami támogatási szabályokat, hogy így támogassa a kutatást, fejlesztést és az innovációt, konkrétan az általános csoportmentességi rendeleten keresztül;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kkv-k kutatási és innovációs kapacitásának támogatásával ösztönzi a gyorsan növekvő vállalkozások kiemelkedését, amit elsősorban a nemzeti programok és kezdeményezések jobb koordinációján keresztül valósít meg;</w:t>
            </w:r>
          </w:p>
          <w:p w:rsidR="00262E48" w:rsidRPr="00296F5C" w:rsidRDefault="00262E48">
            <w:pPr>
              <w:pStyle w:val="Felsorols"/>
              <w:rPr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tagállamokkal egyeztetve klaszterstratégiát fog kidolgozni, amelynek részét képezik majd a transznacionális klaszter-együttműködéseket ösztönző kezdeményezések is. A stratégia révén a klaszterek könnyebben jutnak be új piacokra, a kkv-k pedig bizonyos intézkedések révén ösztönzést kapnak az innovatív klaszterekben való részvételre;</w:t>
            </w:r>
          </w:p>
          <w:p w:rsidR="00262E48" w:rsidRPr="00296F5C" w:rsidRDefault="00262E48">
            <w:pPr>
              <w:pStyle w:val="Felsorols"/>
              <w:rPr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támogatni fogja a kkv-k részvételét a tudástranszferben, amelyet részben azáltal kíván elérni, hogy kísérleti projektet indít a szellemi tulajdon kereskedelmi hasznosítására irányuló finanszírozás támogatására;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ösztönözni fogja a kkv-k aktív részvételét az Európai Innovációs és Technológiai Intézet (EIT) által folytatott tevékenységekben, ezáltal lehetővé téve számukra azt, hogy élvezzék az EIT által támogatott tudástranszfer előnyeit.</w:t>
            </w:r>
          </w:p>
          <w:p w:rsidR="00262E48" w:rsidRPr="00296F5C" w:rsidRDefault="00262E48" w:rsidP="00F50244">
            <w:pPr>
              <w:autoSpaceDE w:val="0"/>
              <w:autoSpaceDN w:val="0"/>
              <w:adjustRightInd w:val="0"/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támogassák a kkv-knak a nemzetközivé, illetve gyorsan növekvő </w:t>
            </w:r>
            <w:r w:rsidRPr="00296F5C">
              <w:rPr>
                <w:noProof/>
                <w:sz w:val="28"/>
                <w:szCs w:val="28"/>
              </w:rPr>
              <w:lastRenderedPageBreak/>
              <w:t>vállalkozássá válásra irányuló erőfeszítéseit, amelynek egyik eszköze az innovatív klaszterekben való részvétel;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támogassák a kkv-k kutatási és innovációs kompetenciáinak fejlesztését, például a következők által: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az állami kutatási infrastruktúrákhoz való könnyített hozzáférés, a K+F szolgáltatások használata, a megfelelő képzettséggel rendelkező munkavállalók felvétele, képzés, ahogy arra a kutatáshoz, fejlesztéshez és innovációhoz nyújtott állami támogatások új közösségi keretrendszere lehetőséget biztosít.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amennyiben ez a más tagállamok kkv-inek az érdekeit is szolgálja, nyissák meg nemzeti kutatási programjaikat, és segítsék a kkv-k részvételét a transznacionális kutatási tevékenységekben, például a közös programozáson keresztül;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kohéziós politika végrehajtása során biztosítsák azt, hogy a kkv-k könnyen hozzáférjenek a vállalkozói készségekkel, innovációval, tudással kapcsolatos támogatásokhoz;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támogassák a vállalkozások elektronikus azonosításának fejlesztését, hogy lehetővé váljon az e-számlázás és az e-kormányzati ügyvitel;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ösztönözzék a vállalkozásokat, főleg a kkv-kat és a többi érintett felet, ideértve a közbeszerzési hatóságokat is, hogy vegyenek részt azokban az intézkedésekben, amelyek hozzájárulnak a vezető piacokra irányuló kezdeményezés gyors végrehajtásához.</w:t>
            </w:r>
          </w:p>
        </w:tc>
      </w:tr>
    </w:tbl>
    <w:p w:rsidR="00262E48" w:rsidRPr="00296F5C" w:rsidRDefault="00262E48">
      <w:pPr>
        <w:rPr>
          <w:sz w:val="28"/>
          <w:szCs w:val="28"/>
        </w:rPr>
      </w:pPr>
    </w:p>
    <w:p w:rsidR="00262E48" w:rsidRPr="00296F5C" w:rsidRDefault="00262E48">
      <w:pPr>
        <w:pStyle w:val="Point0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IX.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>Az EU-nak és a tagállamoknak lehetővé kell tenniük a kkv-k számára, hogy a környezetvédelmi kihívásokat üzleti lehetőségekké alakítsák át.</w:t>
      </w:r>
      <w:r w:rsidRPr="00296F5C">
        <w:rPr>
          <w:b/>
          <w:sz w:val="28"/>
          <w:szCs w:val="28"/>
        </w:rPr>
        <w:t xml:space="preserve"> </w:t>
      </w:r>
    </w:p>
    <w:p w:rsidR="00262E48" w:rsidRPr="00296F5C" w:rsidRDefault="00262E48">
      <w:pPr>
        <w:pStyle w:val="Point0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b/>
          <w:sz w:val="28"/>
          <w:szCs w:val="28"/>
        </w:rPr>
      </w:pPr>
      <w:r w:rsidRPr="00296F5C">
        <w:rPr>
          <w:b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>Több információt, szakértelmet és pénzügyi ösztönzőt kell biztosítaniuk ahhoz, hogy az új „zöld” piacokban és a fokozott energiahatékonyságban rejlő lehetőségeket teljes mértékben ki lehessen bontakoztatni.</w:t>
      </w:r>
      <w:r w:rsidRPr="00296F5C">
        <w:rPr>
          <w:b/>
          <w:sz w:val="28"/>
          <w:szCs w:val="28"/>
        </w:rPr>
        <w:t xml:space="preserve"> </w:t>
      </w:r>
      <w:r w:rsidRPr="00296F5C">
        <w:rPr>
          <w:b/>
          <w:noProof/>
          <w:sz w:val="28"/>
          <w:szCs w:val="28"/>
        </w:rPr>
        <w:t>Ennek egyik eszköze a környezetvédelmi vezetési rendszerek kkv-nál történő bevezetése lehet.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éghajlatváltozás, az energiahordozók szűkössége és a fenntartható fejlődés nagy kihívásokat jelentenek a kkv-k számára, amelyeknek fenntarthatóbb termelési és üzleti modellekre kell átállniuk.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környezetbarát termékek és szolgáltatások iránti kereslet egyben új üzleti lehetőségeket is teremt.</w:t>
      </w:r>
    </w:p>
    <w:p w:rsidR="00262E48" w:rsidRPr="00296F5C" w:rsidRDefault="00262E48">
      <w:pPr>
        <w:rPr>
          <w:rFonts w:ascii="TimesNewRoman" w:hAnsi="TimesNewRoman"/>
          <w:sz w:val="28"/>
          <w:szCs w:val="28"/>
        </w:rPr>
      </w:pPr>
      <w:r w:rsidRPr="00296F5C">
        <w:rPr>
          <w:noProof/>
          <w:sz w:val="28"/>
          <w:szCs w:val="28"/>
        </w:rPr>
        <w:t>A kkv-knak mindössze 29 %-a vezetett be bármilyen intézkedést az energia- vagy nyersanyagfelhasználás csökkentése érdekében (szemben a nagyvállalatok 46 %-ával).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Az EU-ban működő kkv-knak csak 4 %-a rendelkezik átfogó energiahatékonysági rendszerrel, míg a nagyvállalatok esetében ez a mutató </w:t>
      </w:r>
      <w:r w:rsidRPr="00296F5C">
        <w:rPr>
          <w:noProof/>
          <w:sz w:val="28"/>
          <w:szCs w:val="28"/>
        </w:rPr>
        <w:lastRenderedPageBreak/>
        <w:t>19 %.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kkv-k különösen kitettek az energia- és nyersanyagárak jelenlegi emelkedő tendenciájának, és az előrejelzett éghajlatváltozásnak, így fokozniuk kell hatékonyságukat és az új kihívásokhoz való alkalmazkodási képességüket annak érdekében, hogy a kihívásokból üzleti lehetőségeket kovácsolhassanak.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3"/>
      </w:tblGrid>
      <w:tr w:rsidR="00262E48" w:rsidRPr="00296F5C" w:rsidTr="00F50244">
        <w:tc>
          <w:tcPr>
            <w:tcW w:w="9213" w:type="dxa"/>
          </w:tcPr>
          <w:p w:rsidR="00262E48" w:rsidRPr="00296F5C" w:rsidRDefault="00262E48">
            <w:pPr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könnyített környezetvédelmi eljárásokon, alacsonyabb díjakon és a csoportos regisztráció lehetővé tételén keresztül könnyebbé teszi a kkv-k számára a környezetvédelmi vezetési és hitelesítési rendszerhez (Eco-Audit and Management Scheme, EMAS) való hozzáférést;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Az Enterprise Europe Network keretében környezetvédelmi és energiahatékonysági szakértői hálózatot fog finanszírozni, amelynek tagjai a hatékonyság növelése érdekében a környezetvédelmi szempontból hatékony megoldásokkal, piaci lehetőségekkel és elérhető támogatásokkal kapcsolatban adnak majd tanácsot, elsősorban a kkv-k számára;</w:t>
            </w:r>
          </w:p>
          <w:p w:rsidR="00262E48" w:rsidRPr="00296F5C" w:rsidRDefault="00262E48">
            <w:pPr>
              <w:pStyle w:val="Felsorols"/>
              <w:rPr>
                <w:b/>
                <w:i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támogatások új formáit dolgozza ki az öko-innováció területén tevékenykedő innovatív, kezdő vállalkozások és kkv-k számára azzal a céllal, hogy megkönnyítse piacra jutásukat, a technológiatranszfert, a szabványok használatát és a finanszírozási forrásokhoz jutást, megfelelve ugyanakkor az állami támogatásokra vonatkozó hatályos előírásoknak.</w:t>
            </w:r>
          </w:p>
          <w:p w:rsidR="00262E48" w:rsidRPr="00296F5C" w:rsidRDefault="00262E48">
            <w:pPr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adjanak olyan ösztönzőket az ökológiai szempontból hatékony vállalkozásoknak és termékeknek (pl. adókedvezmények, vagy a fenntartható vállalkozásokat előnyben részesítő támogatási rendszerek formájában), amelyek megfelelnek a környezetvédelem állami támogatásáról kiadott közösségi iránymutatásnak, és éljenek az általános csoportmentességi rendeletben a kkv-k környezetvédelmi célú támogatásával kapcsolatban megfogalmazott egyszerűsített elbírálás lehetőségével;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használják ki teljes mértékben a kohéziós politika programjaiban a kkv-k környezetbarát termékeinek és munkafolyamatainak támogatására elkülönített mintegy 2,5 milliárd EUR támogatást.</w:t>
            </w:r>
          </w:p>
        </w:tc>
      </w:tr>
    </w:tbl>
    <w:p w:rsidR="00262E48" w:rsidRPr="00296F5C" w:rsidRDefault="00262E48">
      <w:pPr>
        <w:rPr>
          <w:b/>
          <w:sz w:val="28"/>
          <w:szCs w:val="28"/>
        </w:rPr>
      </w:pPr>
    </w:p>
    <w:p w:rsidR="00262E48" w:rsidRPr="00296F5C" w:rsidRDefault="00262E48">
      <w:pPr>
        <w:pStyle w:val="Poi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8"/>
          <w:szCs w:val="28"/>
        </w:rPr>
      </w:pPr>
      <w:r w:rsidRPr="00296F5C">
        <w:rPr>
          <w:b/>
          <w:noProof/>
          <w:sz w:val="28"/>
          <w:szCs w:val="28"/>
        </w:rPr>
        <w:t>X.</w:t>
      </w:r>
      <w:r w:rsidRPr="00296F5C">
        <w:rPr>
          <w:b/>
          <w:i/>
          <w:sz w:val="28"/>
          <w:szCs w:val="28"/>
        </w:rPr>
        <w:tab/>
      </w:r>
      <w:r w:rsidRPr="00296F5C">
        <w:rPr>
          <w:b/>
          <w:noProof/>
          <w:sz w:val="28"/>
          <w:szCs w:val="28"/>
        </w:rPr>
        <w:t xml:space="preserve">Az </w:t>
      </w:r>
      <w:r w:rsidRPr="00296F5C">
        <w:rPr>
          <w:b/>
          <w:i/>
          <w:noProof/>
          <w:sz w:val="28"/>
          <w:szCs w:val="28"/>
        </w:rPr>
        <w:t>EU-nak és a tagállamoknak</w:t>
      </w:r>
      <w:r w:rsidRPr="00296F5C">
        <w:rPr>
          <w:b/>
          <w:noProof/>
          <w:sz w:val="28"/>
          <w:szCs w:val="28"/>
        </w:rPr>
        <w:t xml:space="preserve"> – főként az adott piacok sajátosságainak megfelelő támogatásokkal és üzleti képzési tevékenységekkel – támogatniuk és ösztönözniük kell a kkv-kat, hogy éljenek az EU-n kívüli piacok növekedéséből fakadó lehetőségekkel.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lastRenderedPageBreak/>
        <w:t>Az európai kkv-k mindössze 8 %-a számolt be arról, hogy exportból származó árbevétellel rendelkezik (a mikrovállalkozások esetében ez az érték 7 %), ami jelentősen elmarad a nagyvállalatokat jellemző számtól (28 %).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Ráadásul a kkv-k az általuk felhasznált anyagoknak átlagosan mindössze 12 %-át veszik meg külföldön.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gyorsan növekvő piacok nagyon sok európai kkv számára kiaknázatlan lehetőséget jelentenek.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Az EU legutóbbi bővítései különösen sok új üzleti lehetőséget teremtettek mind a „régi”, mind az „új” tagállamok vállalkozásai részére.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 rávilágít annak fontosságára, hogy az EU tagjelölt és szomszédos országaiban teljes mértékben élni kell a kínálkozó piaci lehetőségekkel.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kereskedelmi akadályok súlyosabban érintik a kkv-kat, mint a nagyvállalatokat, mivel korlátozottak az erőforrásaik és lehetőségeik a kockázatok kezelésére, különösen amikor élénk verseny folyik az adott piacokon.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Ezen piacok eléréséhez a kkv-knak segítséget kell nyújtani abban, hogy információkhoz jussanak a lehetséges partnerekről és kínálkozó piaci lehetőségekről.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Segíteni kell nekik továbbá abban is, hogy leküzdjék a kulturális akadályokat, illetve a szabályozási és jogi környezet tekintetében mutatkozó különbségeket.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Annak érdekében, hogy a kkv-k teljes mértékben részesülhessenek a globalizáció kínálta lehetőségekből, különös figyelmet kell fordítani a közbeszerzési piacokhoz való hozzáférés javítására, a szellemi tulajdonhoz fűződő jogok érvényesítésére, a tisztességes verseny feltételeinek biztosítására, valamint a piacra jutás megkönnyítésére.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rPr>
          <w:b/>
          <w:i/>
          <w:sz w:val="28"/>
          <w:szCs w:val="28"/>
        </w:rPr>
      </w:pPr>
      <w:r w:rsidRPr="00296F5C">
        <w:rPr>
          <w:b/>
          <w:i/>
          <w:noProof/>
          <w:sz w:val="28"/>
          <w:szCs w:val="28"/>
        </w:rPr>
        <w:t>Az elv gyakorlatba történő átültetése érdekében: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3"/>
      </w:tblGrid>
      <w:tr w:rsidR="00262E48" w:rsidRPr="00296F5C" w:rsidTr="00F50244">
        <w:tc>
          <w:tcPr>
            <w:tcW w:w="9213" w:type="dxa"/>
          </w:tcPr>
          <w:p w:rsidR="00262E48" w:rsidRPr="00296F5C" w:rsidRDefault="00262E48">
            <w:pPr>
              <w:rPr>
                <w:b/>
                <w:i/>
                <w:sz w:val="28"/>
                <w:szCs w:val="28"/>
              </w:rPr>
            </w:pPr>
            <w:r w:rsidRPr="00296F5C">
              <w:rPr>
                <w:b/>
                <w:i/>
                <w:noProof/>
                <w:sz w:val="28"/>
                <w:szCs w:val="28"/>
              </w:rPr>
              <w:t>a Bizottság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legfontosabb exportpiacokon a piacra jutást segítő csoportokat állított fel, amelyekben a tagállamok kereskedelmi tanácsosai és az EU-ban működő üzleti szervezetek közösen dolgoznak azért, hogy javítsák a kkv-knak az EU-n kívüli piacokon tapasztalható kereskedelmi akadályokkal kapcsolatos tájékozottságát;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color w:val="00000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WTO-tárgyalásokon és kétoldalú egyezmények megkötésén keresztül aktívan fog dolgozni azért, hogy a harmadik országok, elsősorban a fejlett és magas fejlettségi szintű fejlődő országok piacai megnyíljanak;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két- illetve többoldalú tárgyalásai (WTO-megállapodás a közbeszerzésről) során különös figyelmet szentel annak, hogy megnyíljanak a nem EU-országok, elsősorban a gyorsan növekvő gazdaságok közbeszerzési piacai, aminek közös és kölcsönös előnyökkel kell járnia;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color w:val="00000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azon lesz, hogy a WTO fórumán zajló, illetve kétoldalú tárgyalásai során előmozdítsa a kereskedelem könnyítését;</w:t>
            </w:r>
          </w:p>
          <w:p w:rsidR="00262E48" w:rsidRPr="00296F5C" w:rsidRDefault="00262E48">
            <w:pPr>
              <w:pStyle w:val="Felsorols"/>
              <w:rPr>
                <w:color w:val="00000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lastRenderedPageBreak/>
              <w:t>folytatni fogja az EU-beli kkv-k piacra jutásának megkönnyítését a tagjelölt és a többi szomszédos országban, különösen az Enterprise Europe Network hálózatán keresztül, a „Gondolkozz előbb kicsiben!” elv ezen országokban történő előmozdításával, valamint a bevált gyakorlatok cseréjével a Kisvállalkozások Európai Chartája és az SBA alapján;</w:t>
            </w:r>
            <w:r w:rsidRPr="00296F5C">
              <w:rPr>
                <w:sz w:val="28"/>
                <w:szCs w:val="28"/>
              </w:rPr>
              <w:t xml:space="preserve"> </w:t>
            </w:r>
          </w:p>
          <w:p w:rsidR="00262E48" w:rsidRPr="00296F5C" w:rsidRDefault="00262E48">
            <w:pPr>
              <w:pStyle w:val="Felsorols"/>
              <w:rPr>
                <w:color w:val="00000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2009-ben európai üzleti központokat kíván létrehozni egyes kiválasztott piacokon, elsőként India és Kína gyorsan növekvő gazdaságaiban;</w:t>
            </w:r>
          </w:p>
          <w:p w:rsidR="00262E48" w:rsidRPr="00296F5C" w:rsidRDefault="00262E48">
            <w:pPr>
              <w:pStyle w:val="Felsorols"/>
              <w:rPr>
                <w:color w:val="00000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2010-re útnak akarja indítani „Gateway to China” („kapu Kína felé”) programot, amelynek központi eleme egy vezetői képzési program beindítása Kínában, amelynek révén az európai kkv-k versenyképesebbé válhatnak a kínai piacon.</w:t>
            </w:r>
          </w:p>
          <w:p w:rsidR="00262E48" w:rsidRPr="00296F5C" w:rsidRDefault="00262E48">
            <w:pPr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tagállamok felkérést kapnak arra, hogy</w:t>
            </w:r>
          </w:p>
          <w:p w:rsidR="00262E48" w:rsidRPr="00296F5C" w:rsidRDefault="00262E48">
            <w:pPr>
              <w:pStyle w:val="Felsorols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ösztönözzék, hogy a kkv-k a nagyvállalatoktól tanulhassanak, és hogy a nagyvállalatok vezessék be őket a nemzetközi piacokra.</w:t>
            </w:r>
          </w:p>
        </w:tc>
      </w:tr>
    </w:tbl>
    <w:p w:rsidR="00262E48" w:rsidRPr="00296F5C" w:rsidRDefault="001B75BC" w:rsidP="001B75BC">
      <w:pPr>
        <w:pStyle w:val="ManualHeading1"/>
        <w:rPr>
          <w:sz w:val="28"/>
          <w:szCs w:val="28"/>
        </w:rPr>
      </w:pPr>
      <w:r w:rsidRPr="00296F5C">
        <w:rPr>
          <w:sz w:val="28"/>
          <w:szCs w:val="28"/>
        </w:rPr>
        <w:lastRenderedPageBreak/>
        <w:t>5.</w:t>
      </w:r>
      <w:r w:rsidRPr="00296F5C">
        <w:rPr>
          <w:sz w:val="28"/>
          <w:szCs w:val="28"/>
        </w:rPr>
        <w:tab/>
      </w:r>
      <w:r w:rsidR="00262E48" w:rsidRPr="00296F5C">
        <w:rPr>
          <w:noProof/>
          <w:sz w:val="28"/>
          <w:szCs w:val="28"/>
        </w:rPr>
        <w:t>Az SBA végrehajtása és irányítása</w:t>
      </w:r>
    </w:p>
    <w:p w:rsidR="00262E48" w:rsidRPr="00296F5C" w:rsidRDefault="00262E48">
      <w:pPr>
        <w:keepNext/>
        <w:keepLines/>
        <w:rPr>
          <w:sz w:val="28"/>
          <w:szCs w:val="28"/>
        </w:rPr>
      </w:pPr>
      <w:r w:rsidRPr="00296F5C">
        <w:rPr>
          <w:noProof/>
          <w:sz w:val="28"/>
          <w:szCs w:val="28"/>
        </w:rPr>
        <w:t>A Bizottság kezdeményezésének 2007 októberi elindítása óta nagy várakozással tekintenek az európai kisvállalkozói intézkedéscsomag, a „Small Business Act” felé.</w:t>
      </w:r>
      <w:r w:rsidR="003B4D40" w:rsidRPr="00296F5C">
        <w:rPr>
          <w:noProof/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Jóllehet a kezdeményezést széleskörű támogatás övezi kormányzati szinten, illetve az Európai Parlament és a kkv-k közössége részéről, biztosítani kell teljes körű végrehajtását.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Ehhez szükség van mind a Bizottság, mind a tagállamok teljes elkötelezettségére.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Bizottság ezért felkéri az Európai Tanácsot, hogy – a kkv-k iránti megújult elkötelezettsége alapjaként – fogadja kedvezően és támogassa a „Small Business Act” intézkedéscsomagot, fogadja el a 10 elvet, és vállaljon kötelezettséget a javasolt intézkedések végrehajtására.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Bizottság továbbá felkéri a Tanácsot és a Parlamentet, hogy gyorsan fogadják el a kapcsolódó jogszabályalkotási javaslatokat.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Az SBA-nak teljes mértékben be kell ágyazódnia a növekedést és foglalkoztatást célzó stratégiába, ami által biztosítható hatékony végrehajtása, és az elvárt eredményeket rendszeresen aktualizálni lehet.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Ezért a tagállamok felkérést kapnak arra, hogy élve a lisszaboni ciklus 2008 végére tervezett frissítése kínálta lehetőséggel, vegyék figyelembe az SBA-t a nemzeti reformprogramjaikban és éves végrehajtási jelentéseikben.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tagállamok ötleteket meríthetnek a mellékletben található, az EU-s bevált gyakorlatokat tartalmazó áttekintésből, illetve a Bizottság továbbra is gondoskodni fog arról, hogy fórumot biztosítson a bevált gyakorlatok megosztásához.</w:t>
      </w:r>
    </w:p>
    <w:p w:rsidR="00262E48" w:rsidRPr="00296F5C" w:rsidRDefault="00262E48">
      <w:pPr>
        <w:rPr>
          <w:sz w:val="28"/>
          <w:szCs w:val="28"/>
        </w:rPr>
      </w:pPr>
      <w:r w:rsidRPr="00296F5C">
        <w:rPr>
          <w:noProof/>
          <w:sz w:val="28"/>
          <w:szCs w:val="28"/>
        </w:rPr>
        <w:t>A Bizottság elemzést fog készíteni az SBA végrehajtásának előrehaladásáról, és 2008-től kezdődően rendszeresen be fog számolni erről a növekedést és foglalkoztatást célzó stratégia keretében.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Ezáltal lehetővé válik az Európai </w:t>
      </w:r>
      <w:r w:rsidRPr="00296F5C">
        <w:rPr>
          <w:noProof/>
          <w:sz w:val="28"/>
          <w:szCs w:val="28"/>
        </w:rPr>
        <w:lastRenderedPageBreak/>
        <w:t>Tanács számára, hogy áttekintse a kkv-politika terén elért előrehaladást mind közösségi, mind tagállami szinten, és levonja a szükséges következtetéseket.</w:t>
      </w:r>
    </w:p>
    <w:p w:rsidR="00262E48" w:rsidRPr="00296F5C" w:rsidRDefault="00262E48">
      <w:pPr>
        <w:spacing w:before="80" w:after="100"/>
        <w:jc w:val="center"/>
        <w:rPr>
          <w:sz w:val="28"/>
          <w:szCs w:val="28"/>
        </w:rPr>
      </w:pPr>
      <w:r w:rsidRPr="00296F5C">
        <w:rPr>
          <w:sz w:val="28"/>
          <w:szCs w:val="28"/>
        </w:rPr>
        <w:br w:type="page"/>
      </w:r>
      <w:r w:rsidRPr="00296F5C">
        <w:rPr>
          <w:b/>
          <w:noProof/>
          <w:sz w:val="28"/>
          <w:szCs w:val="28"/>
        </w:rPr>
        <w:lastRenderedPageBreak/>
        <w:t>Melléklet:</w:t>
      </w:r>
      <w:r w:rsidRPr="00296F5C">
        <w:rPr>
          <w:b/>
          <w:sz w:val="28"/>
          <w:szCs w:val="28"/>
        </w:rPr>
        <w:t xml:space="preserve"> </w:t>
      </w:r>
      <w:r w:rsidRPr="00296F5C">
        <w:rPr>
          <w:b/>
          <w:noProof/>
          <w:sz w:val="28"/>
          <w:szCs w:val="28"/>
        </w:rPr>
        <w:t>A kkv-politika bevált gyakorlatainak megosztása</w:t>
      </w:r>
    </w:p>
    <w:p w:rsidR="00262E48" w:rsidRPr="00296F5C" w:rsidRDefault="00262E48">
      <w:pPr>
        <w:spacing w:before="80" w:after="80"/>
        <w:rPr>
          <w:sz w:val="28"/>
          <w:szCs w:val="28"/>
        </w:rPr>
      </w:pPr>
      <w:r w:rsidRPr="00296F5C">
        <w:rPr>
          <w:noProof/>
          <w:sz w:val="28"/>
          <w:szCs w:val="28"/>
        </w:rPr>
        <w:t>A kkv-politika bevált gyakorlatainak megosztása sikeres eszköznek bizonyult a növekedést és foglalkoztatást célzó lisszaboni stratégia végrehajtása szempontjából.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2000-től a Bizottság különböző területeken gyűjt példákat a bevált gyakorlatokra.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 xml:space="preserve">A </w:t>
      </w:r>
      <w:r w:rsidRPr="00296F5C">
        <w:rPr>
          <w:b/>
          <w:noProof/>
          <w:sz w:val="28"/>
          <w:szCs w:val="28"/>
        </w:rPr>
        <w:t xml:space="preserve">Kisvállalkozások Európai Chartája </w:t>
      </w:r>
      <w:r w:rsidRPr="00296F5C">
        <w:rPr>
          <w:noProof/>
          <w:sz w:val="28"/>
          <w:szCs w:val="28"/>
        </w:rPr>
        <w:t>keretében összegyűjtött gyakorlatok a charta online katalógusában érhetők el, az alábbi címen: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spacing w:before="80" w:after="80"/>
        <w:rPr>
          <w:sz w:val="28"/>
          <w:szCs w:val="28"/>
        </w:rPr>
      </w:pPr>
      <w:hyperlink r:id="rId16" w:history="1">
        <w:r w:rsidRPr="00296F5C">
          <w:rPr>
            <w:sz w:val="28"/>
            <w:szCs w:val="28"/>
          </w:rPr>
          <w:t>http://ec.europa.eu/enterprise/enterprise_policy/charter/gp</w:t>
        </w:r>
      </w:hyperlink>
      <w:r w:rsidRPr="00296F5C">
        <w:rPr>
          <w:sz w:val="28"/>
          <w:szCs w:val="28"/>
        </w:rPr>
        <w:t>.</w:t>
      </w:r>
    </w:p>
    <w:p w:rsidR="00262E48" w:rsidRPr="00296F5C" w:rsidRDefault="00262E48">
      <w:pPr>
        <w:spacing w:before="80" w:after="80"/>
        <w:rPr>
          <w:sz w:val="28"/>
          <w:szCs w:val="28"/>
        </w:rPr>
      </w:pPr>
      <w:r w:rsidRPr="00296F5C">
        <w:rPr>
          <w:noProof/>
          <w:sz w:val="28"/>
          <w:szCs w:val="28"/>
        </w:rPr>
        <w:t xml:space="preserve">Az </w:t>
      </w:r>
      <w:r w:rsidRPr="00296F5C">
        <w:rPr>
          <w:b/>
          <w:noProof/>
          <w:sz w:val="28"/>
          <w:szCs w:val="28"/>
        </w:rPr>
        <w:t xml:space="preserve">Európai Vállalkozási Díjat </w:t>
      </w:r>
      <w:r w:rsidRPr="00296F5C">
        <w:rPr>
          <w:noProof/>
          <w:sz w:val="28"/>
          <w:szCs w:val="28"/>
        </w:rPr>
        <w:t>a vállalkozások regionális szintű támogatásáért és kiemelkedő kezdeményezésekért ítélik oda.</w:t>
      </w:r>
      <w:r w:rsidRPr="00296F5C">
        <w:rPr>
          <w:sz w:val="28"/>
          <w:szCs w:val="28"/>
        </w:rPr>
        <w:t xml:space="preserve"> </w:t>
      </w:r>
      <w:r w:rsidRPr="00296F5C">
        <w:rPr>
          <w:noProof/>
          <w:sz w:val="28"/>
          <w:szCs w:val="28"/>
        </w:rPr>
        <w:t>A vállalkozások előmozdítása terén bevált gyakorlatokból összeállított gyűjtemény az alábbi címen érhető el:</w:t>
      </w:r>
      <w:r w:rsidRPr="00296F5C">
        <w:rPr>
          <w:sz w:val="28"/>
          <w:szCs w:val="28"/>
        </w:rPr>
        <w:t xml:space="preserve"> </w:t>
      </w:r>
    </w:p>
    <w:p w:rsidR="00262E48" w:rsidRPr="00296F5C" w:rsidRDefault="00262E48">
      <w:pPr>
        <w:spacing w:before="80" w:after="80"/>
        <w:rPr>
          <w:sz w:val="28"/>
          <w:szCs w:val="28"/>
        </w:rPr>
      </w:pPr>
      <w:hyperlink r:id="rId17" w:history="1">
        <w:r w:rsidRPr="00296F5C">
          <w:rPr>
            <w:sz w:val="28"/>
            <w:szCs w:val="28"/>
          </w:rPr>
          <w:t>http://ec.europa.eu/enterprise/entrepreneurship/smes/awards/download/compendium_2007_en_lowres.pdf</w:t>
        </w:r>
      </w:hyperlink>
      <w:r w:rsidRPr="00296F5C">
        <w:rPr>
          <w:sz w:val="28"/>
          <w:szCs w:val="28"/>
        </w:rPr>
        <w:t>.</w:t>
      </w:r>
    </w:p>
    <w:p w:rsidR="00262E48" w:rsidRPr="00296F5C" w:rsidRDefault="00262E48">
      <w:pPr>
        <w:spacing w:before="80" w:after="80"/>
        <w:rPr>
          <w:sz w:val="28"/>
          <w:szCs w:val="28"/>
        </w:rPr>
      </w:pPr>
      <w:r w:rsidRPr="00296F5C">
        <w:rPr>
          <w:noProof/>
          <w:sz w:val="28"/>
          <w:szCs w:val="28"/>
        </w:rPr>
        <w:t>Ebben a mellékletben példák találhatók az egyes tagállamokból származó bevált gyakorlatokra, amelyek ötletként szolgálhatnak az SBA végrehajtása során.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98"/>
        <w:gridCol w:w="7790"/>
      </w:tblGrid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1.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vállalkozók és a családi vállalkozások boldogulását elősegítő és a vállalkozói készséget díjazó környezet megteremtése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Impuls-Netzwerk, Sachsen-Anhalt, </w:t>
            </w:r>
            <w:r w:rsidRPr="00296F5C">
              <w:rPr>
                <w:sz w:val="28"/>
                <w:szCs w:val="28"/>
              </w:rPr>
              <w:t>Németország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FF"/>
                <w:sz w:val="28"/>
                <w:szCs w:val="28"/>
              </w:rPr>
              <w:t xml:space="preserve"> </w:t>
            </w:r>
            <w:hyperlink r:id="rId18" w:history="1">
              <w:r w:rsidRPr="00296F5C">
                <w:rPr>
                  <w:rStyle w:val="Hiperhivatkozs"/>
                  <w:sz w:val="28"/>
                  <w:szCs w:val="28"/>
                </w:rPr>
                <w:t>www.impuls-netzwerk.de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Youth Enterprise and Entrepreneurship Strategy in Wales (Fiatalok vállalkozásának és vállalkozásösztönzésének stratégiája) Wales, Egyesült Királyság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19" w:history="1">
              <w:r w:rsidRPr="00296F5C">
                <w:rPr>
                  <w:sz w:val="28"/>
                  <w:szCs w:val="28"/>
                </w:rPr>
                <w:t>http://www.projectdynamo.co.uk</w:t>
              </w:r>
            </w:hyperlink>
            <w:r w:rsidRPr="00296F5C">
              <w:rPr>
                <w:sz w:val="28"/>
                <w:szCs w:val="28"/>
              </w:rPr>
              <w:t xml:space="preserve">; </w:t>
            </w:r>
            <w:hyperlink r:id="rId20" w:history="1">
              <w:r w:rsidRPr="00296F5C">
                <w:rPr>
                  <w:sz w:val="28"/>
                  <w:szCs w:val="28"/>
                </w:rPr>
                <w:t>www.becauseyoucan.com</w:t>
              </w:r>
            </w:hyperlink>
            <w:r w:rsidRPr="00296F5C">
              <w:rPr>
                <w:noProof/>
                <w:sz w:val="28"/>
                <w:szCs w:val="28"/>
              </w:rPr>
              <w:t>.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jc w:val="left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Cap’Ten, sois capitaine de ton projet (Legyél a projekted vezetője) Belgium</w:t>
            </w:r>
            <w:r w:rsidRPr="00296F5C">
              <w:rPr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jc w:val="left"/>
              <w:rPr>
                <w:sz w:val="28"/>
                <w:szCs w:val="28"/>
              </w:rPr>
            </w:pPr>
            <w:bookmarkStart w:id="0" w:name="_Hlt201976833"/>
            <w:bookmarkStart w:id="1" w:name="_Hlt201976834"/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sz w:val="28"/>
                <w:szCs w:val="28"/>
              </w:rPr>
              <w:t xml:space="preserve"> </w:t>
            </w:r>
            <w:hyperlink r:id="rId21" w:tgtFrame="_blank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www.ichec-pme.be</w:t>
              </w:r>
            </w:hyperlink>
            <w:bookmarkEnd w:id="0"/>
            <w:bookmarkEnd w:id="1"/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Emax – az északi képzési tábor fiatal vállalkozók részére, Svédország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22" w:history="1">
              <w:r w:rsidRPr="00296F5C">
                <w:rPr>
                  <w:rStyle w:val="Hiperhivatkozs"/>
                  <w:sz w:val="28"/>
                  <w:szCs w:val="28"/>
                </w:rPr>
                <w:t>www.emaxevent.com</w:t>
              </w:r>
            </w:hyperlink>
            <w:r w:rsidRPr="00296F5C">
              <w:rPr>
                <w:color w:val="000000"/>
                <w:sz w:val="28"/>
                <w:szCs w:val="28"/>
              </w:rPr>
              <w:t xml:space="preserve">, </w:t>
            </w:r>
            <w:hyperlink r:id="rId23" w:history="1">
              <w:r w:rsidRPr="00296F5C">
                <w:rPr>
                  <w:rStyle w:val="Hiperhivatkozs"/>
                  <w:sz w:val="28"/>
                  <w:szCs w:val="28"/>
                </w:rPr>
                <w:t>www.startcentrum.se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Kinder Business </w:t>
            </w:r>
            <w:r w:rsidRPr="00296F5C">
              <w:rPr>
                <w:sz w:val="28"/>
                <w:szCs w:val="28"/>
              </w:rPr>
              <w:t>Week (Gyerekvállalkozások hete), Ausztria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24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www.kin</w:t>
              </w:r>
              <w:r w:rsidRPr="00296F5C">
                <w:rPr>
                  <w:rStyle w:val="Hiperhivatkozs"/>
                  <w:noProof/>
                  <w:sz w:val="28"/>
                  <w:szCs w:val="28"/>
                </w:rPr>
                <w:t>d</w:t>
              </w:r>
              <w:r w:rsidRPr="00296F5C">
                <w:rPr>
                  <w:rStyle w:val="Hiperhivatkozs"/>
                  <w:noProof/>
                  <w:sz w:val="28"/>
                  <w:szCs w:val="28"/>
                </w:rPr>
                <w:t>erbusinessweek.at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Vállalkozói napok: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Emprendemos Juntos – Mindannyian vállalkozók vagyunk, Spanyolország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25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www.emprendemosjuntos.es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vállalkozói kultúra fejlesztése a nők körében, Románia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26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www.animmc.ro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2.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csődbe jutott becsületes vállalkozók gyors újrakezdésének lehetősége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kis- és középvállalkozásokat szabályozott generációváltásra felkészítő fejlesztőprogram, Finnország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27" w:history="1">
              <w:r w:rsidRPr="00296F5C">
                <w:rPr>
                  <w:sz w:val="28"/>
                  <w:szCs w:val="28"/>
                </w:rPr>
                <w:t>www.te-keskus.fi</w:t>
              </w:r>
            </w:hyperlink>
            <w:r w:rsidRPr="00296F5C">
              <w:rPr>
                <w:sz w:val="28"/>
                <w:szCs w:val="28"/>
              </w:rPr>
              <w:t xml:space="preserve">, </w:t>
            </w:r>
            <w:hyperlink r:id="rId28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www.yrityssuomi.fi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Gyorsabb újrakezdés a csődbe jutást követően, Dánia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29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www.naec.dk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Segítség a nehézségbe jutott önálló vállalkozóknak és vállalkozás tulajdonosoknak, Belgium</w:t>
            </w:r>
            <w:r w:rsidRPr="00296F5C">
              <w:rPr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30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www.beci.be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3.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„Gondolkozz előbb kicsiben!” elvnek megfelelő szabályok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Nyilvános konzultációs honlap „Teeme koos”, Észtország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31" w:history="1">
              <w:r w:rsidRPr="00296F5C">
                <w:rPr>
                  <w:sz w:val="28"/>
                  <w:szCs w:val="28"/>
                </w:rPr>
                <w:t>www.osale.ee</w:t>
              </w:r>
            </w:hyperlink>
            <w:r w:rsidRPr="00296F5C">
              <w:rPr>
                <w:sz w:val="28"/>
                <w:szCs w:val="28"/>
              </w:rPr>
              <w:t xml:space="preserve">; </w:t>
            </w:r>
            <w:hyperlink r:id="rId32" w:history="1">
              <w:r w:rsidRPr="00296F5C">
                <w:rPr>
                  <w:sz w:val="28"/>
                  <w:szCs w:val="28"/>
                </w:rPr>
                <w:t>www.riigikantselei.ee</w:t>
              </w:r>
            </w:hyperlink>
            <w:r w:rsidRPr="00296F5C">
              <w:rPr>
                <w:sz w:val="28"/>
                <w:szCs w:val="28"/>
              </w:rPr>
              <w:t xml:space="preserve">; </w:t>
            </w:r>
            <w:hyperlink r:id="rId33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www.valitsus.ee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kkv-kat helyi szinten, az egyablakos ügyintézésen keresztül támogatató szolgáltatások megvalósítása, Szlovénia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34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www.japti.si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rFonts w:ascii="Arial Unicode MS" w:eastAsia="Arial Unicode MS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Rendeletek ellenőrző listája, Egyesült Királyság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35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www.businesslink.gov.uk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Y4 Bizottság, Finnország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rStyle w:val="Kiemels2"/>
                <w:b w:val="0"/>
                <w:bCs w:val="0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sz w:val="28"/>
                <w:szCs w:val="28"/>
              </w:rPr>
              <w:t xml:space="preserve"> </w:t>
            </w:r>
            <w:hyperlink r:id="rId36" w:tgtFrame="_blank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www.y4.fi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4.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kkv-k szükségleteire fogékony közigazgatási rendszerek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 belga szociális szektor kkv-knak kidolgozott e-kormányzati programja, Belgium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Internetcím</w:t>
            </w:r>
            <w:r w:rsidRPr="00296F5C">
              <w:rPr>
                <w:color w:val="0000FF"/>
                <w:sz w:val="28"/>
                <w:szCs w:val="28"/>
                <w:u w:val="single"/>
              </w:rPr>
              <w:t xml:space="preserve">: </w:t>
            </w:r>
            <w:hyperlink r:id="rId37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www.ksz-bcss.fgov.be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Egységes regisztrációs pont a vállalkozók számára, Cseh Köztársaság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38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www.mpo.cz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One-Stop-Shop für Existenzgründer</w:t>
            </w:r>
            <w:r w:rsidRPr="00296F5C">
              <w:rPr>
                <w:noProof/>
                <w:vanish/>
                <w:color w:val="800080"/>
                <w:sz w:val="28"/>
                <w:szCs w:val="28"/>
                <w:vertAlign w:val="subscript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(</w:t>
            </w:r>
            <w:r w:rsidRPr="00296F5C">
              <w:rPr>
                <w:sz w:val="28"/>
                <w:szCs w:val="28"/>
              </w:rPr>
              <w:t>Egyablakos ügyintézés vállalkozók részére), Németország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39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www.one-stop-shop-trier.de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Mikrovállalkozások menedzsment centruma a gazdasági és pénzügyi beszámolás támogatására, Franciaország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0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www.artifrance.eu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PME-Service-Public </w:t>
            </w:r>
            <w:r w:rsidRPr="00296F5C">
              <w:rPr>
                <w:noProof/>
                <w:sz w:val="28"/>
                <w:szCs w:val="28"/>
              </w:rPr>
              <w:t>(</w:t>
            </w:r>
            <w:r w:rsidRPr="00296F5C">
              <w:rPr>
                <w:sz w:val="28"/>
                <w:szCs w:val="28"/>
              </w:rPr>
              <w:t xml:space="preserve">Nyilvános internetes információs portál a kisvállalkozások részére), Franciaország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="0015583E" w:rsidRPr="00296F5C">
              <w:rPr>
                <w:noProof/>
                <w:sz w:val="28"/>
                <w:szCs w:val="28"/>
              </w:rPr>
              <w:t>http://pme.service-public.fr/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CORE - Companies Online Registration Environment (Vállalkozások online regisztrációs környezete), Írország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1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www.cro.ie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Kezdőrúgás projekt, Málta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2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www.mcmpgov.mt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Online vállalkozás számláló, Hollandia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3" w:history="1">
              <w:r w:rsidRPr="00296F5C">
                <w:rPr>
                  <w:sz w:val="28"/>
                  <w:szCs w:val="28"/>
                </w:rPr>
                <w:t>www.bedrijvenloket.nl</w:t>
              </w:r>
            </w:hyperlink>
            <w:r w:rsidRPr="00296F5C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KSU – Kkv-knak nyújtott szolgáltatások országos hálózata, Lengyelország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4" w:history="1">
              <w:r w:rsidR="00FB2971" w:rsidRPr="00296F5C">
                <w:rPr>
                  <w:sz w:val="28"/>
                  <w:szCs w:val="28"/>
                </w:rPr>
                <w:t>www.euroinfo.org.pl</w:t>
              </w:r>
            </w:hyperlink>
            <w:r w:rsidRPr="00296F5C">
              <w:rPr>
                <w:noProof/>
                <w:color w:val="000000"/>
                <w:sz w:val="28"/>
                <w:szCs w:val="28"/>
              </w:rPr>
              <w:t xml:space="preserve">, </w:t>
            </w:r>
            <w:hyperlink r:id="rId45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www.ksu.parp.gov.pl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Portal da empresa </w:t>
            </w:r>
            <w:r w:rsidRPr="00296F5C">
              <w:rPr>
                <w:sz w:val="28"/>
                <w:szCs w:val="28"/>
              </w:rPr>
              <w:t>(Vállalkozás online), Portugália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6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www.portaldaempresa.pt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Egyablakos ügyintézés kkv-k számára (VEM), Szlovénia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7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www.japti.si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Központi ügyintézési portál, Szlovákia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8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www.telecom.gov.sk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Fizetés a neten szolgáltatás kisvállalkozások részére, Finnország</w:t>
            </w:r>
            <w:r w:rsidRPr="00296F5C">
              <w:rPr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49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www.palkka.fi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5.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spacing w:before="0" w:after="0"/>
              <w:rPr>
                <w:b/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szakpolitikai eszköztár hozzáigazítása a kkv-k szükségleteihez: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296F5C">
              <w:rPr>
                <w:b/>
                <w:noProof/>
                <w:sz w:val="28"/>
                <w:szCs w:val="28"/>
              </w:rPr>
              <w:t>a kkv-k részvételének megkönnyítése a közbeszerzési eljárásokban, és a kkv-k állami támogatási lehetőségeinek jobb kihasználása.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Portail des marchés</w:t>
            </w:r>
            <w:r w:rsidRPr="00296F5C">
              <w:rPr>
                <w:noProof/>
                <w:sz w:val="28"/>
                <w:szCs w:val="28"/>
              </w:rPr>
              <w:t xml:space="preserve"> publics (</w:t>
            </w:r>
            <w:r w:rsidRPr="00296F5C">
              <w:rPr>
                <w:sz w:val="28"/>
                <w:szCs w:val="28"/>
              </w:rPr>
              <w:t>E-közbeszerzési portál), Luxemburg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50" w:history="1">
              <w:r w:rsidRPr="00296F5C">
                <w:rPr>
                  <w:sz w:val="28"/>
                  <w:szCs w:val="28"/>
                </w:rPr>
                <w:t>http://www.marches.public.lu</w:t>
              </w:r>
            </w:hyperlink>
            <w:r w:rsidRPr="00296F5C">
              <w:rPr>
                <w:sz w:val="28"/>
                <w:szCs w:val="28"/>
              </w:rPr>
              <w:t xml:space="preserve">, </w:t>
            </w:r>
            <w:hyperlink r:id="rId51" w:history="1">
              <w:r w:rsidRPr="00296F5C">
                <w:rPr>
                  <w:sz w:val="28"/>
                  <w:szCs w:val="28"/>
                </w:rPr>
                <w:t>http://www.mtp.public.lu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6.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kkv-k finanszírozáshoz jutásának megkönnyítése, továbbá olyan jogi és üzleti környezet megteremtése, amely támogatja a kereskedelmi tranzakciókhoz kapcsolódó fizetések időben történő teljesülését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Seed and venture capital programme (Magvető és kockázati tőke program), Írország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52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www.enterprise-ireland.com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Kisvállalkozásoknak kamatvisszatérítéssel nyújtott kölcsön, Ciprus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53" w:history="1">
              <w:r w:rsidRPr="00296F5C">
                <w:rPr>
                  <w:sz w:val="28"/>
                  <w:szCs w:val="28"/>
                </w:rPr>
                <w:t>www.bankofcyprus.com</w:t>
              </w:r>
            </w:hyperlink>
            <w:r w:rsidRPr="00296F5C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Alapok alapja modellben működő állami kockázatitőke alap, Lettország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54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www.lga.lv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Mikrohitel program női vállalkozóknak és vállalkozástulajdonosoknak, Spanyolország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55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www.ipyme.org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7.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kkv-k segítése abban, hogy nagyobb mértékben élvezhessék az egységes piac nyújtotta előnyöket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Üzleti és exportportál, Cseh Köztársaság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sz w:val="28"/>
                <w:szCs w:val="28"/>
              </w:rPr>
              <w:t xml:space="preserve"> </w:t>
            </w:r>
            <w:r w:rsidRPr="00296F5C">
              <w:rPr>
                <w:noProof/>
                <w:sz w:val="28"/>
                <w:szCs w:val="28"/>
              </w:rPr>
              <w:t>Businessinfo.cz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>Kompetenz-Netzwerk/Competentie Netwerk INTER-NED (Kompetenciahálózat Hollandia/Észak-Rajna-Vesztfália INTER-NED), Németország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FF"/>
                <w:sz w:val="28"/>
                <w:szCs w:val="28"/>
              </w:rPr>
              <w:t xml:space="preserve"> </w:t>
            </w:r>
            <w:hyperlink r:id="rId56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www.inter-ned.info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Szabványosítással kapcsolatos állami tájékoztatás, Litvánia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57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www.lsd.lt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 xml:space="preserve">CETMOS –— The Central European Trade Mark Observation </w:t>
            </w:r>
            <w:r w:rsidRPr="00296F5C">
              <w:rPr>
                <w:noProof/>
                <w:sz w:val="28"/>
                <w:szCs w:val="28"/>
              </w:rPr>
              <w:lastRenderedPageBreak/>
              <w:t>Service (Közép-európai védjegyfigyelő szolgáltatás), Ausztria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58" w:history="1">
              <w:r w:rsidRPr="00296F5C">
                <w:rPr>
                  <w:color w:val="0000FF"/>
                  <w:sz w:val="28"/>
                  <w:szCs w:val="28"/>
                  <w:u w:val="single" w:color="0000FF"/>
                </w:rPr>
                <w:t>www.cetmos.eu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8.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kkv-k szaktudásának fejlesztése és az innováció valamennyi formájának elősegítése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Nemzeti e-business stratégia, Írország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</w:t>
            </w:r>
            <w:r w:rsidRPr="00296F5C">
              <w:rPr>
                <w:noProof/>
                <w:color w:val="0000FF"/>
                <w:sz w:val="28"/>
                <w:szCs w:val="28"/>
              </w:rPr>
              <w:t>:</w:t>
            </w:r>
            <w:r w:rsidRPr="00296F5C">
              <w:rPr>
                <w:color w:val="0000FF"/>
                <w:sz w:val="28"/>
                <w:szCs w:val="28"/>
              </w:rPr>
              <w:t xml:space="preserve"> </w:t>
            </w:r>
            <w:hyperlink r:id="rId59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www.entemp.ie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Innovációmenedzsment, Magyarország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60" w:history="1">
              <w:r w:rsidRPr="00296F5C">
                <w:rPr>
                  <w:color w:val="0000FF"/>
                  <w:sz w:val="28"/>
                  <w:szCs w:val="28"/>
                  <w:u w:val="single" w:color="0000FF"/>
                </w:rPr>
                <w:t>www.chic.hu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Nemzeti Innovációs Alap, Bulgária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61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www.sme.government.bg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The Hellenic Technology Clusters Initiative (Görög technológiai klaszterek kezdeményezés), Görögország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62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www.htci.gr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9.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környezetvédelmi kihívások mint a kkv-k üzleti lehetőségei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Új felületmegmunkálási eljárás a kerámiaiparban, amely révén csökken a környezeti terhelés, Olaszország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ascii="Arial Unicode MS" w:eastAsia="Arial Unicode MS"/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</w:t>
            </w:r>
            <w:r w:rsidRPr="00296F5C">
              <w:rPr>
                <w:noProof/>
                <w:color w:val="0000FF"/>
                <w:sz w:val="28"/>
                <w:szCs w:val="28"/>
              </w:rPr>
              <w:t>:</w:t>
            </w:r>
            <w:r w:rsidRPr="00296F5C">
              <w:rPr>
                <w:b/>
                <w:color w:val="0000FF"/>
                <w:sz w:val="28"/>
                <w:szCs w:val="28"/>
              </w:rPr>
              <w:t xml:space="preserve"> </w:t>
            </w:r>
            <w:hyperlink r:id="rId63" w:history="1">
              <w:r w:rsidRPr="00296F5C">
                <w:rPr>
                  <w:sz w:val="28"/>
                  <w:szCs w:val="28"/>
                </w:rPr>
                <w:t>http://www.fondovalle.it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Környezeti adóreform, Észtország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64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www.fin.ee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EDM – Elektronisches Datenmanagement für Umwelt- und Abfallmanagement (Elektronikus adatkezelés a környezetvédelem és hulladékkezelés területén)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65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www.lebensministerium.at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sz w:val="28"/>
                <w:szCs w:val="28"/>
              </w:rPr>
              <w:t xml:space="preserve">10. </w:t>
            </w:r>
            <w:r w:rsidRPr="00296F5C">
              <w:rPr>
                <w:b/>
                <w:noProof/>
                <w:sz w:val="28"/>
                <w:szCs w:val="28"/>
              </w:rPr>
              <w:t>elv:</w:t>
            </w:r>
            <w:r w:rsidRPr="00296F5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b/>
                <w:noProof/>
                <w:sz w:val="28"/>
                <w:szCs w:val="28"/>
              </w:rPr>
              <w:t>A kkv-k ösztönzése és támogatása, hogy részesüljenek a növekvő piacok előnyeiből.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 kiállítás, Lengyelország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66" w:history="1">
              <w:r w:rsidRPr="00296F5C">
                <w:rPr>
                  <w:color w:val="0000FF"/>
                  <w:sz w:val="28"/>
                  <w:szCs w:val="28"/>
                  <w:u w:val="single" w:color="0000FF"/>
                </w:rPr>
                <w:t>www.euroinfo.org.pl</w:t>
              </w:r>
            </w:hyperlink>
            <w:r w:rsidR="003B4D40" w:rsidRPr="00296F5C">
              <w:rPr>
                <w:sz w:val="28"/>
                <w:szCs w:val="28"/>
              </w:rPr>
              <w:t xml:space="preserve"> 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Pipe – Plan Iniciación Promoción Exterior (A kkv-k exporttevékenységét támogató program), Spanyolország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rFonts w:eastAsia="Arial Unicode MS"/>
                <w:sz w:val="28"/>
                <w:szCs w:val="28"/>
              </w:rPr>
            </w:pPr>
            <w:r w:rsidRPr="00296F5C">
              <w:rPr>
                <w:sz w:val="28"/>
                <w:szCs w:val="28"/>
              </w:rPr>
              <w:t xml:space="preserve">Internetcím: </w:t>
            </w:r>
            <w:hyperlink r:id="rId67" w:history="1">
              <w:r w:rsidRPr="00296F5C">
                <w:rPr>
                  <w:color w:val="0000FF"/>
                  <w:sz w:val="28"/>
                  <w:szCs w:val="28"/>
                  <w:u w:val="single"/>
                </w:rPr>
                <w:t>www.portalpipe.com</w:t>
              </w:r>
            </w:hyperlink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Sprint – Összefogás a világpiacon történő versenyzéshez, Olaszország</w:t>
            </w:r>
          </w:p>
        </w:tc>
      </w:tr>
      <w:tr w:rsidR="00262E48" w:rsidRPr="00296F5C" w:rsidTr="00F50244">
        <w:tc>
          <w:tcPr>
            <w:tcW w:w="1498" w:type="dxa"/>
          </w:tcPr>
          <w:p w:rsidR="00262E48" w:rsidRPr="00296F5C" w:rsidRDefault="00262E48" w:rsidP="00F50244">
            <w:pPr>
              <w:spacing w:before="0" w:after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790" w:type="dxa"/>
          </w:tcPr>
          <w:p w:rsidR="00262E48" w:rsidRPr="00296F5C" w:rsidRDefault="00262E48" w:rsidP="00F50244">
            <w:pPr>
              <w:autoSpaceDE w:val="0"/>
              <w:autoSpaceDN w:val="0"/>
              <w:adjustRightInd w:val="0"/>
              <w:spacing w:before="0" w:after="0"/>
              <w:rPr>
                <w:sz w:val="28"/>
                <w:szCs w:val="28"/>
              </w:rPr>
            </w:pPr>
            <w:r w:rsidRPr="00296F5C">
              <w:rPr>
                <w:noProof/>
                <w:sz w:val="28"/>
                <w:szCs w:val="28"/>
              </w:rPr>
              <w:t>Internetcím:</w:t>
            </w:r>
            <w:r w:rsidRPr="00296F5C">
              <w:rPr>
                <w:color w:val="000000"/>
                <w:sz w:val="28"/>
                <w:szCs w:val="28"/>
              </w:rPr>
              <w:t xml:space="preserve"> </w:t>
            </w:r>
            <w:hyperlink r:id="rId68" w:history="1">
              <w:r w:rsidRPr="00296F5C">
                <w:rPr>
                  <w:rStyle w:val="Hiperhivatkozs"/>
                  <w:noProof/>
                  <w:sz w:val="28"/>
                  <w:szCs w:val="28"/>
                </w:rPr>
                <w:t>www.sprint-er.it</w:t>
              </w:r>
            </w:hyperlink>
          </w:p>
        </w:tc>
      </w:tr>
    </w:tbl>
    <w:p w:rsidR="00262E48" w:rsidRPr="00296F5C" w:rsidRDefault="00262E48">
      <w:pPr>
        <w:rPr>
          <w:sz w:val="28"/>
          <w:szCs w:val="28"/>
        </w:rPr>
      </w:pPr>
    </w:p>
    <w:sectPr w:rsidR="00262E48" w:rsidRPr="00296F5C" w:rsidSect="001B75BC">
      <w:footerReference w:type="default" r:id="rId69"/>
      <w:footerReference w:type="first" r:id="rId70"/>
      <w:pgSz w:w="11906" w:h="16838"/>
      <w:pgMar w:top="540" w:right="1417" w:bottom="899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93F" w:rsidRDefault="00B2293F">
      <w:r>
        <w:separator/>
      </w:r>
    </w:p>
  </w:endnote>
  <w:endnote w:type="continuationSeparator" w:id="0">
    <w:p w:rsidR="00B2293F" w:rsidRDefault="00B22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047" w:rsidRPr="001B75BC" w:rsidRDefault="001B75BC" w:rsidP="001B75BC">
    <w:pPr>
      <w:pStyle w:val="llb"/>
      <w:rPr>
        <w:rFonts w:ascii="Arial" w:hAnsi="Arial" w:cs="Arial"/>
        <w:b/>
        <w:sz w:val="48"/>
      </w:rPr>
    </w:pPr>
    <w:r w:rsidRPr="001B75BC">
      <w:rPr>
        <w:rFonts w:ascii="Arial" w:hAnsi="Arial" w:cs="Arial"/>
        <w:b/>
        <w:sz w:val="48"/>
      </w:rPr>
      <w:t>HU</w:t>
    </w:r>
    <w:r w:rsidRPr="001B75BC">
      <w:rPr>
        <w:rFonts w:ascii="Arial" w:hAnsi="Arial" w:cs="Arial"/>
        <w:b/>
        <w:sz w:val="48"/>
      </w:rPr>
      <w:tab/>
    </w:r>
    <w:r w:rsidRPr="001B75BC">
      <w:rPr>
        <w:rFonts w:ascii="Arial" w:hAnsi="Arial" w:cs="Arial"/>
        <w:b/>
        <w:sz w:val="48"/>
      </w:rPr>
      <w:tab/>
    </w:r>
    <w:fldSimple w:instr=" DOCPROPERTY &quot;Classification&quot; \* MERGEFORMAT ">
      <w:r>
        <w:t xml:space="preserve"> </w:t>
      </w:r>
    </w:fldSimple>
    <w:r w:rsidRPr="001B75BC">
      <w:tab/>
    </w:r>
    <w:r w:rsidRPr="001B75BC">
      <w:rPr>
        <w:rFonts w:ascii="Arial" w:hAnsi="Arial" w:cs="Arial"/>
        <w:b/>
        <w:sz w:val="48"/>
      </w:rPr>
      <w:t>HU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  <w:rPr>
        <w:rFonts w:ascii="Arial" w:hAnsi="Arial" w:cs="Arial"/>
        <w:b/>
        <w:sz w:val="48"/>
      </w:rPr>
    </w:pPr>
    <w:r w:rsidRPr="001B75BC">
      <w:rPr>
        <w:rFonts w:ascii="Arial" w:hAnsi="Arial" w:cs="Arial"/>
        <w:b/>
        <w:sz w:val="48"/>
      </w:rPr>
      <w:t>HU</w:t>
    </w:r>
    <w:r w:rsidRPr="001B75BC">
      <w:rPr>
        <w:rFonts w:ascii="Arial" w:hAnsi="Arial" w:cs="Arial"/>
        <w:b/>
        <w:sz w:val="48"/>
      </w:rPr>
      <w:tab/>
    </w:r>
    <w:r w:rsidRPr="001B75BC">
      <w:rPr>
        <w:rFonts w:ascii="Arial" w:hAnsi="Arial" w:cs="Arial"/>
        <w:b/>
        <w:sz w:val="48"/>
      </w:rPr>
      <w:tab/>
    </w:r>
    <w:fldSimple w:instr=" DOCPROPERTY &quot;Classification&quot; \* MERGEFORMAT ">
      <w:r>
        <w:t xml:space="preserve"> </w:t>
      </w:r>
    </w:fldSimple>
    <w:r w:rsidRPr="001B75BC">
      <w:tab/>
    </w:r>
    <w:r w:rsidRPr="001B75BC">
      <w:rPr>
        <w:rFonts w:ascii="Arial" w:hAnsi="Arial" w:cs="Arial"/>
        <w:b/>
        <w:sz w:val="48"/>
      </w:rPr>
      <w:t>HU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  <w:rPr>
        <w:rFonts w:ascii="Arial" w:hAnsi="Arial" w:cs="Arial"/>
        <w:b/>
        <w:sz w:val="48"/>
      </w:rPr>
    </w:pPr>
    <w:r w:rsidRPr="001B75BC">
      <w:rPr>
        <w:rFonts w:ascii="Arial" w:hAnsi="Arial" w:cs="Arial"/>
        <w:b/>
        <w:sz w:val="48"/>
      </w:rPr>
      <w:t>HU</w:t>
    </w:r>
    <w:r w:rsidRPr="001B75BC">
      <w:rPr>
        <w:rFonts w:ascii="Arial" w:hAnsi="Arial" w:cs="Arial"/>
        <w:b/>
        <w:sz w:val="48"/>
      </w:rPr>
      <w:tab/>
    </w:r>
    <w:fldSimple w:instr=" PAGE  \* MERGEFORMAT ">
      <w:r w:rsidR="00850F46">
        <w:rPr>
          <w:noProof/>
        </w:rPr>
        <w:t>2</w:t>
      </w:r>
    </w:fldSimple>
    <w:r>
      <w:tab/>
    </w:r>
    <w:fldSimple w:instr=" DOCPROPERTY &quot;Classification&quot; \* MERGEFORMAT ">
      <w:r>
        <w:t xml:space="preserve"> </w:t>
      </w:r>
    </w:fldSimple>
    <w:r w:rsidRPr="001B75BC">
      <w:tab/>
    </w:r>
    <w:r w:rsidRPr="001B75BC">
      <w:rPr>
        <w:rFonts w:ascii="Arial" w:hAnsi="Arial" w:cs="Arial"/>
        <w:b/>
        <w:sz w:val="48"/>
      </w:rPr>
      <w:t>HU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93F" w:rsidRDefault="00B2293F">
      <w:r>
        <w:separator/>
      </w:r>
    </w:p>
  </w:footnote>
  <w:footnote w:type="continuationSeparator" w:id="0">
    <w:p w:rsidR="00B2293F" w:rsidRDefault="00B2293F">
      <w:r>
        <w:continuationSeparator/>
      </w:r>
    </w:p>
  </w:footnote>
  <w:footnote w:id="1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„A Közösség Lisszaboni programjának végrehajtása – Modern kkv-politika a növekedésért és a foglalkoztatásért” - COM(2005) 551 végleges, 2005.11.10.</w:t>
      </w:r>
    </w:p>
  </w:footnote>
  <w:footnote w:id="2">
    <w:p w:rsidR="004B1047" w:rsidRPr="00C93BB5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1" w:history="1">
        <w:r w:rsidR="003B4D40" w:rsidRPr="00C93BB5">
          <w:rPr>
            <w:rStyle w:val="Hiperhivatkozs"/>
            <w:noProof/>
            <w:color w:val="auto"/>
            <w:u w:val="none"/>
          </w:rPr>
          <w:t>http://ec.europa.eu/enterprise/enterprise_policy/charter/docs/charter_hu.pdf</w:t>
        </w:r>
      </w:hyperlink>
    </w:p>
  </w:footnote>
  <w:footnote w:id="3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  <w:t>Kis- és középvállalkozások – megoldás a további növekedésre és a jobb munkahelyteremtésre</w:t>
      </w:r>
      <w:r>
        <w:rPr>
          <w:noProof/>
          <w:szCs w:val="24"/>
        </w:rPr>
        <w:t xml:space="preserve"> </w:t>
      </w:r>
      <w:r>
        <w:rPr>
          <w:szCs w:val="24"/>
        </w:rPr>
        <w:t>- A modern kkv-politika félidős felülvizsgálata, COM(2007) 592 végleges, 2007.10.4.</w:t>
      </w:r>
    </w:p>
  </w:footnote>
  <w:footnote w:id="4">
    <w:p w:rsidR="004B1047" w:rsidRPr="00C93BB5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2" w:history="1">
        <w:r w:rsidR="00FB2971" w:rsidRPr="00C93BB5">
          <w:rPr>
            <w:rStyle w:val="Hiperhivatkozs"/>
            <w:noProof/>
            <w:color w:val="auto"/>
            <w:u w:val="none"/>
          </w:rPr>
          <w:t>http://ec.europa.eu/enterprise/admin-burdens-reduction/home_en.htm</w:t>
        </w:r>
      </w:hyperlink>
    </w:p>
  </w:footnote>
  <w:footnote w:id="5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„A Small Business Actról készített hatásvizsgálat” (Impact Assesment on the SBA), SEC(2008) 2101.</w:t>
      </w:r>
    </w:p>
  </w:footnote>
  <w:footnote w:id="6">
    <w:p w:rsidR="004B1047" w:rsidRPr="00C93BB5" w:rsidRDefault="004B1047">
      <w:pPr>
        <w:pStyle w:val="Lbjegyzetszveg"/>
        <w:jc w:val="left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 xml:space="preserve">Az EU-s kkv-k 2007-es felmérése (2007 Observatory of EU SMEs). </w:t>
      </w:r>
      <w:hyperlink r:id="rId3" w:history="1">
        <w:r w:rsidR="00FB2971" w:rsidRPr="00C93BB5">
          <w:rPr>
            <w:rStyle w:val="Hiperhivatkozs"/>
            <w:noProof/>
            <w:color w:val="auto"/>
            <w:u w:val="none"/>
          </w:rPr>
          <w:t>http://ec.europa.eu/enterprise/enterprise_policy/analysis/observatory_en.htm</w:t>
        </w:r>
      </w:hyperlink>
      <w:r w:rsidR="00FB2971" w:rsidRPr="00C93BB5">
        <w:rPr>
          <w:noProof/>
          <w:szCs w:val="24"/>
        </w:rPr>
        <w:t xml:space="preserve"> </w:t>
      </w:r>
    </w:p>
  </w:footnote>
  <w:footnote w:id="7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„Egységes piac a 21. századi Európa számára”, COM(2007) 724 végleges, 2007.11.20.</w:t>
      </w:r>
    </w:p>
  </w:footnote>
  <w:footnote w:id="8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 w:rsidR="00FB2971" w:rsidRPr="00FB2971">
        <w:rPr>
          <w:szCs w:val="24"/>
        </w:rPr>
        <w:t>http://ec.europa.eu/enterprise/entrepreneurship/docs/sba_consultation_report_final.pdf</w:t>
      </w:r>
    </w:p>
  </w:footnote>
  <w:footnote w:id="9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4" w:history="1">
        <w:r w:rsidR="00FB2971" w:rsidRPr="00C93BB5">
          <w:rPr>
            <w:rStyle w:val="Hiperhivatkozs"/>
            <w:noProof/>
            <w:color w:val="auto"/>
            <w:u w:val="none"/>
          </w:rPr>
          <w:t>http://ec.europa.eu/enterprise/enterprise_policy/survey/eurobarometer_intro.htm</w:t>
        </w:r>
      </w:hyperlink>
    </w:p>
  </w:footnote>
  <w:footnote w:id="10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„Közös bevándorláspolitika Európa számára:</w:t>
      </w:r>
      <w:r>
        <w:rPr>
          <w:szCs w:val="24"/>
        </w:rPr>
        <w:t xml:space="preserve"> </w:t>
      </w:r>
      <w:r>
        <w:rPr>
          <w:noProof/>
          <w:szCs w:val="24"/>
        </w:rPr>
        <w:t>elvek és eszközök”, COM(2008)359 végleges, 2008.6.17.</w:t>
      </w:r>
    </w:p>
  </w:footnote>
  <w:footnote w:id="11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„Az üzleti kudarc miatti megbélyegzés ellen – az újrakezdés politikájáért” – A lisszaboni növekedési és foglalkoztatási partnerség megvalósítása”, COM(2007) 584 végleges, 2007.10.5.</w:t>
      </w:r>
    </w:p>
  </w:footnote>
  <w:footnote w:id="12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„Modellek a kkv-k aránytalan adminisztratív terheinek csökkentésére” (Models to Reduce the Disproportionate Regulatory burden on SMEs”) szakértői csoport 2007. májusi jelentése</w:t>
      </w:r>
    </w:p>
  </w:footnote>
  <w:footnote w:id="13">
    <w:p w:rsidR="004B1047" w:rsidRPr="00C93BB5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5" w:history="1">
        <w:r w:rsidR="00FB2971" w:rsidRPr="00C93BB5">
          <w:rPr>
            <w:rStyle w:val="Hiperhivatkozs"/>
            <w:noProof/>
            <w:color w:val="auto"/>
            <w:u w:val="none"/>
          </w:rPr>
          <w:t>http://ec.europa.eu/enterprise/entrepreneurship/docs/SME_public_procurement_Summary.pdf</w:t>
        </w:r>
      </w:hyperlink>
      <w:r w:rsidR="00FB2971" w:rsidRPr="00C93BB5">
        <w:rPr>
          <w:noProof/>
          <w:szCs w:val="24"/>
        </w:rPr>
        <w:t xml:space="preserve"> </w:t>
      </w:r>
    </w:p>
  </w:footnote>
  <w:footnote w:id="14">
    <w:p w:rsidR="004B1047" w:rsidRPr="00C93BB5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6" w:history="1">
        <w:r w:rsidR="003B4D40" w:rsidRPr="00C93BB5">
          <w:rPr>
            <w:rStyle w:val="Hiperhivatkozs"/>
            <w:noProof/>
            <w:color w:val="auto"/>
            <w:u w:val="none"/>
          </w:rPr>
          <w:t>http://www.enterprise-europe-network.ec.europa.eu/</w:t>
        </w:r>
      </w:hyperlink>
      <w:r w:rsidR="003B4D40" w:rsidRPr="00C93BB5">
        <w:rPr>
          <w:noProof/>
          <w:szCs w:val="24"/>
        </w:rPr>
        <w:t xml:space="preserve"> </w:t>
      </w:r>
    </w:p>
  </w:footnote>
  <w:footnote w:id="15">
    <w:p w:rsidR="004B1047" w:rsidRPr="00C93BB5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hyperlink r:id="rId7" w:history="1">
        <w:r w:rsidR="003B4D40" w:rsidRPr="00C93BB5">
          <w:rPr>
            <w:rStyle w:val="Hiperhivatkozs"/>
            <w:noProof/>
            <w:color w:val="auto"/>
            <w:u w:val="none"/>
          </w:rPr>
          <w:t>http://ec.europa.eu/solvit/site/index_en.htm</w:t>
        </w:r>
      </w:hyperlink>
    </w:p>
  </w:footnote>
  <w:footnote w:id="16">
    <w:p w:rsidR="004B1047" w:rsidRDefault="004B1047">
      <w:pPr>
        <w:pStyle w:val="Lbjegyzetszveg"/>
        <w:rPr>
          <w:szCs w:val="24"/>
        </w:rPr>
      </w:pPr>
      <w:r>
        <w:rPr>
          <w:rStyle w:val="Lbjegyzet-hivatkozs"/>
          <w:szCs w:val="24"/>
        </w:rPr>
        <w:footnoteRef/>
      </w:r>
      <w:r>
        <w:rPr>
          <w:szCs w:val="24"/>
        </w:rPr>
        <w:tab/>
      </w:r>
      <w:r>
        <w:rPr>
          <w:noProof/>
          <w:szCs w:val="24"/>
        </w:rPr>
        <w:t>Az élethosszig tartó tanulás kulcskompetenciáiról kiadott bizottsági ajánlás, 2006.12.18.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fej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BC" w:rsidRPr="001B75BC" w:rsidRDefault="001B75BC" w:rsidP="001B75BC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D"/>
    <w:multiLevelType w:val="singleLevel"/>
    <w:tmpl w:val="C5E21F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1">
    <w:nsid w:val="FFFFFF7E"/>
    <w:multiLevelType w:val="singleLevel"/>
    <w:tmpl w:val="BF743A7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2">
    <w:nsid w:val="FFFFFF7F"/>
    <w:multiLevelType w:val="singleLevel"/>
    <w:tmpl w:val="4D6A35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3">
    <w:nsid w:val="FFFFFF81"/>
    <w:multiLevelType w:val="singleLevel"/>
    <w:tmpl w:val="69B0F1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>
    <w:nsid w:val="FFFFFF82"/>
    <w:multiLevelType w:val="singleLevel"/>
    <w:tmpl w:val="82BAB1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>
    <w:nsid w:val="FFFFFF83"/>
    <w:multiLevelType w:val="singleLevel"/>
    <w:tmpl w:val="D03C3E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>
    <w:nsid w:val="FFFFFF88"/>
    <w:multiLevelType w:val="singleLevel"/>
    <w:tmpl w:val="FDE4E1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FFFFFF89"/>
    <w:multiLevelType w:val="singleLevel"/>
    <w:tmpl w:val="61A8EE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CDA2F71"/>
    <w:multiLevelType w:val="singleLevel"/>
    <w:tmpl w:val="29C487D4"/>
    <w:lvl w:ilvl="0">
      <w:start w:val="1"/>
      <w:numFmt w:val="bullet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9">
    <w:nsid w:val="128364B0"/>
    <w:multiLevelType w:val="singleLevel"/>
    <w:tmpl w:val="D084FB54"/>
    <w:lvl w:ilvl="0">
      <w:start w:val="1"/>
      <w:numFmt w:val="bullet"/>
      <w:pStyle w:val="ListDash3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10">
    <w:nsid w:val="13E4330B"/>
    <w:multiLevelType w:val="multilevel"/>
    <w:tmpl w:val="875C4416"/>
    <w:lvl w:ilvl="0">
      <w:start w:val="1"/>
      <w:numFmt w:val="decimal"/>
      <w:pStyle w:val="ListNumber1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1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1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1">
    <w:nsid w:val="13E90BC0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C145FCB"/>
    <w:multiLevelType w:val="singleLevel"/>
    <w:tmpl w:val="BEF68DA6"/>
    <w:lvl w:ilvl="0">
      <w:start w:val="1"/>
      <w:numFmt w:val="bullet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3">
    <w:nsid w:val="25101A50"/>
    <w:multiLevelType w:val="singleLevel"/>
    <w:tmpl w:val="A4C47934"/>
    <w:name w:val="List Dash__1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4">
    <w:nsid w:val="26C57E56"/>
    <w:multiLevelType w:val="singleLevel"/>
    <w:tmpl w:val="83F27C2C"/>
    <w:lvl w:ilvl="0">
      <w:start w:val="1"/>
      <w:numFmt w:val="bullet"/>
      <w:pStyle w:val="ListBullet1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15">
    <w:nsid w:val="2E721191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2EEC6039"/>
    <w:multiLevelType w:val="multilevel"/>
    <w:tmpl w:val="040C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7">
    <w:nsid w:val="2F191641"/>
    <w:multiLevelType w:val="multilevel"/>
    <w:tmpl w:val="B67C4E92"/>
    <w:lvl w:ilvl="0">
      <w:start w:val="1"/>
      <w:numFmt w:val="decimal"/>
      <w:pStyle w:val="Szmozottlista3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3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3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>
    <w:nsid w:val="314015CB"/>
    <w:multiLevelType w:val="hybridMultilevel"/>
    <w:tmpl w:val="37844A4E"/>
    <w:name w:val="List Bullet 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1CD398A"/>
    <w:multiLevelType w:val="singleLevel"/>
    <w:tmpl w:val="0276BF00"/>
    <w:name w:val="List Bullet2"/>
    <w:lvl w:ilvl="0">
      <w:start w:val="1"/>
      <w:numFmt w:val="bullet"/>
      <w:pStyle w:val="ListDash4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20">
    <w:nsid w:val="398C015E"/>
    <w:multiLevelType w:val="multilevel"/>
    <w:tmpl w:val="027A66BA"/>
    <w:name w:val="Tiret 2"/>
    <w:lvl w:ilvl="0">
      <w:start w:val="1"/>
      <w:numFmt w:val="decimal"/>
      <w:pStyle w:val="Szmozottlista2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2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2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1">
    <w:nsid w:val="403D1A5F"/>
    <w:multiLevelType w:val="hybridMultilevel"/>
    <w:tmpl w:val="C6149624"/>
    <w:name w:val="List Dash 3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15B7EDE"/>
    <w:multiLevelType w:val="singleLevel"/>
    <w:tmpl w:val="92264878"/>
    <w:name w:val="List Number 1"/>
    <w:lvl w:ilvl="0">
      <w:start w:val="1"/>
      <w:numFmt w:val="bullet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3">
    <w:nsid w:val="43A85611"/>
    <w:multiLevelType w:val="multilevel"/>
    <w:tmpl w:val="18667D1A"/>
    <w:name w:val="Tiret 3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4">
    <w:nsid w:val="489D74ED"/>
    <w:multiLevelType w:val="singleLevel"/>
    <w:tmpl w:val="C2E2F936"/>
    <w:name w:val="List Bullet 1__1"/>
    <w:lvl w:ilvl="0">
      <w:start w:val="1"/>
      <w:numFmt w:val="bullet"/>
      <w:pStyle w:val="ListDash2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25">
    <w:nsid w:val="4D0C058A"/>
    <w:multiLevelType w:val="singleLevel"/>
    <w:tmpl w:val="BAE8D90E"/>
    <w:lvl w:ilvl="0">
      <w:start w:val="1"/>
      <w:numFmt w:val="bullet"/>
      <w:pStyle w:val="ListDash1"/>
      <w:lvlText w:val="–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</w:abstractNum>
  <w:abstractNum w:abstractNumId="26">
    <w:nsid w:val="4F1A5EEB"/>
    <w:multiLevelType w:val="singleLevel"/>
    <w:tmpl w:val="E90C02CE"/>
    <w:name w:val="List Dash"/>
    <w:lvl w:ilvl="0">
      <w:start w:val="1"/>
      <w:numFmt w:val="bullet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7">
    <w:nsid w:val="542A1204"/>
    <w:multiLevelType w:val="multilevel"/>
    <w:tmpl w:val="BC1E8404"/>
    <w:lvl w:ilvl="0">
      <w:start w:val="1"/>
      <w:numFmt w:val="decimal"/>
      <w:pStyle w:val="Szmozottlista4"/>
      <w:lvlText w:val="(%1)"/>
      <w:lvlJc w:val="left"/>
      <w:pPr>
        <w:tabs>
          <w:tab w:val="num" w:pos="1560"/>
        </w:tabs>
        <w:ind w:left="1560" w:hanging="709"/>
      </w:pPr>
      <w:rPr>
        <w:rFonts w:cs="Times New Roman"/>
      </w:rPr>
    </w:lvl>
    <w:lvl w:ilvl="1">
      <w:start w:val="1"/>
      <w:numFmt w:val="lowerLetter"/>
      <w:pStyle w:val="ListNumber4Level2"/>
      <w:lvlText w:val="(%2)"/>
      <w:lvlJc w:val="left"/>
      <w:pPr>
        <w:tabs>
          <w:tab w:val="num" w:pos="2268"/>
        </w:tabs>
        <w:ind w:left="2268" w:hanging="708"/>
      </w:pPr>
      <w:rPr>
        <w:rFonts w:cs="Times New Roman"/>
      </w:rPr>
    </w:lvl>
    <w:lvl w:ilvl="2">
      <w:start w:val="1"/>
      <w:numFmt w:val="bullet"/>
      <w:pStyle w:val="ListNumber4Level3"/>
      <w:lvlText w:val="–"/>
      <w:lvlJc w:val="left"/>
      <w:pPr>
        <w:tabs>
          <w:tab w:val="num" w:pos="2977"/>
        </w:tabs>
        <w:ind w:left="2977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3686"/>
        </w:tabs>
        <w:ind w:left="3686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8">
    <w:nsid w:val="5A87276D"/>
    <w:multiLevelType w:val="hybridMultilevel"/>
    <w:tmpl w:val="7FC4F3B0"/>
    <w:name w:val="List Number 3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AF823DB"/>
    <w:multiLevelType w:val="multilevel"/>
    <w:tmpl w:val="8ABCF822"/>
    <w:name w:val="Default"/>
    <w:lvl w:ilvl="0">
      <w:start w:val="1"/>
      <w:numFmt w:val="decimal"/>
      <w:pStyle w:val="Cmso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0">
    <w:nsid w:val="5B0B0635"/>
    <w:multiLevelType w:val="singleLevel"/>
    <w:tmpl w:val="017E7CEE"/>
    <w:name w:val="List Dash 4"/>
    <w:lvl w:ilvl="0">
      <w:start w:val="1"/>
      <w:numFmt w:val="bullet"/>
      <w:pStyle w:val="Felsorols4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31">
    <w:nsid w:val="5DF84969"/>
    <w:multiLevelType w:val="singleLevel"/>
    <w:tmpl w:val="1E12021A"/>
    <w:name w:val="List Number 2"/>
    <w:lvl w:ilvl="0">
      <w:start w:val="1"/>
      <w:numFmt w:val="bullet"/>
      <w:pStyle w:val="Felsorol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32">
    <w:nsid w:val="5FF33AFF"/>
    <w:multiLevelType w:val="hybridMultilevel"/>
    <w:tmpl w:val="229404E6"/>
    <w:name w:val="LegalNumbering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6C278A"/>
    <w:multiLevelType w:val="singleLevel"/>
    <w:tmpl w:val="443639EC"/>
    <w:name w:val="List Bullet 12"/>
    <w:lvl w:ilvl="0">
      <w:start w:val="1"/>
      <w:numFmt w:val="bullet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4">
    <w:nsid w:val="71F06166"/>
    <w:multiLevelType w:val="multilevel"/>
    <w:tmpl w:val="C08066D2"/>
    <w:name w:val="Tiret 4"/>
    <w:lvl w:ilvl="0">
      <w:start w:val="1"/>
      <w:numFmt w:val="decimal"/>
      <w:pStyle w:val="Szmozottlista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5">
    <w:nsid w:val="73D73F7A"/>
    <w:multiLevelType w:val="singleLevel"/>
    <w:tmpl w:val="26365734"/>
    <w:lvl w:ilvl="0">
      <w:start w:val="1"/>
      <w:numFmt w:val="bullet"/>
      <w:pStyle w:val="Felsorols2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36">
    <w:nsid w:val="76BC5C11"/>
    <w:multiLevelType w:val="singleLevel"/>
    <w:tmpl w:val="E44CE82E"/>
    <w:lvl w:ilvl="0">
      <w:start w:val="1"/>
      <w:numFmt w:val="bullet"/>
      <w:pStyle w:val="Felsorols3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37">
    <w:nsid w:val="7E474D4E"/>
    <w:multiLevelType w:val="singleLevel"/>
    <w:tmpl w:val="1A6608A0"/>
    <w:name w:val="NumPar"/>
    <w:lvl w:ilvl="0">
      <w:start w:val="1"/>
      <w:numFmt w:val="decimal"/>
      <w:pStyle w:val="Considrant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5"/>
  </w:num>
  <w:num w:numId="11">
    <w:abstractNumId w:val="4"/>
  </w:num>
  <w:num w:numId="12">
    <w:abstractNumId w:val="3"/>
  </w:num>
  <w:num w:numId="13">
    <w:abstractNumId w:val="6"/>
  </w:num>
  <w:num w:numId="14">
    <w:abstractNumId w:val="2"/>
  </w:num>
  <w:num w:numId="15">
    <w:abstractNumId w:val="1"/>
  </w:num>
  <w:num w:numId="16">
    <w:abstractNumId w:val="0"/>
  </w:num>
  <w:num w:numId="17">
    <w:abstractNumId w:val="33"/>
  </w:num>
  <w:num w:numId="18">
    <w:abstractNumId w:val="26"/>
  </w:num>
  <w:num w:numId="19">
    <w:abstractNumId w:val="8"/>
  </w:num>
  <w:num w:numId="20">
    <w:abstractNumId w:val="12"/>
  </w:num>
  <w:num w:numId="21">
    <w:abstractNumId w:val="22"/>
  </w:num>
  <w:num w:numId="22">
    <w:abstractNumId w:val="23"/>
  </w:num>
  <w:num w:numId="23">
    <w:abstractNumId w:val="29"/>
  </w:num>
  <w:num w:numId="24">
    <w:abstractNumId w:val="31"/>
  </w:num>
  <w:num w:numId="25">
    <w:abstractNumId w:val="35"/>
  </w:num>
  <w:num w:numId="26">
    <w:abstractNumId w:val="36"/>
  </w:num>
  <w:num w:numId="27">
    <w:abstractNumId w:val="30"/>
  </w:num>
  <w:num w:numId="28">
    <w:abstractNumId w:val="25"/>
  </w:num>
  <w:num w:numId="29">
    <w:abstractNumId w:val="24"/>
  </w:num>
  <w:num w:numId="30">
    <w:abstractNumId w:val="9"/>
  </w:num>
  <w:num w:numId="31">
    <w:abstractNumId w:val="19"/>
  </w:num>
  <w:num w:numId="32">
    <w:abstractNumId w:val="34"/>
  </w:num>
  <w:num w:numId="33">
    <w:abstractNumId w:val="10"/>
  </w:num>
  <w:num w:numId="34">
    <w:abstractNumId w:val="20"/>
  </w:num>
  <w:num w:numId="35">
    <w:abstractNumId w:val="17"/>
  </w:num>
  <w:num w:numId="36">
    <w:abstractNumId w:val="27"/>
  </w:num>
  <w:num w:numId="37">
    <w:abstractNumId w:val="37"/>
  </w:num>
  <w:num w:numId="38">
    <w:abstractNumId w:val="16"/>
  </w:num>
  <w:num w:numId="39">
    <w:abstractNumId w:val="14"/>
  </w:num>
  <w:num w:numId="40">
    <w:abstractNumId w:val="13"/>
  </w:num>
  <w:num w:numId="41">
    <w:abstractNumId w:val="11"/>
  </w:num>
  <w:num w:numId="4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Copylist_Path" w:val="\\at100\user\wk\SEILEG\Lw5x\Copylist\CecCons\Template"/>
    <w:docVar w:name="List Bullet 1" w:val="List Bullet 1__1"/>
    <w:docVar w:name="List Dash" w:val="List Dash__1"/>
    <w:docVar w:name="LW_DocType" w:val="COM"/>
    <w:docVar w:name="VSSDB_IniPath" w:val="\\at100\user\wovo\SEILEG\vss\srcsafe.ini"/>
    <w:docVar w:name="VSSDB_ProjectPath" w:val="$/LegisWrite/DOT/COM"/>
  </w:docVars>
  <w:rsids>
    <w:rsidRoot w:val="001E2D57"/>
    <w:rsid w:val="00000100"/>
    <w:rsid w:val="000002EF"/>
    <w:rsid w:val="00001BDD"/>
    <w:rsid w:val="000050E3"/>
    <w:rsid w:val="000064BB"/>
    <w:rsid w:val="0000702D"/>
    <w:rsid w:val="00007D94"/>
    <w:rsid w:val="000130FA"/>
    <w:rsid w:val="00014880"/>
    <w:rsid w:val="00021897"/>
    <w:rsid w:val="00022156"/>
    <w:rsid w:val="000227D8"/>
    <w:rsid w:val="00023108"/>
    <w:rsid w:val="000250A3"/>
    <w:rsid w:val="0002652B"/>
    <w:rsid w:val="00026E2C"/>
    <w:rsid w:val="000302DC"/>
    <w:rsid w:val="000321AD"/>
    <w:rsid w:val="0003280E"/>
    <w:rsid w:val="0003396C"/>
    <w:rsid w:val="000343AE"/>
    <w:rsid w:val="00035575"/>
    <w:rsid w:val="000362F9"/>
    <w:rsid w:val="0003639D"/>
    <w:rsid w:val="00036731"/>
    <w:rsid w:val="000434C6"/>
    <w:rsid w:val="00043520"/>
    <w:rsid w:val="00044FD4"/>
    <w:rsid w:val="00051622"/>
    <w:rsid w:val="000522B8"/>
    <w:rsid w:val="00053923"/>
    <w:rsid w:val="000572A8"/>
    <w:rsid w:val="00062FDB"/>
    <w:rsid w:val="0006469E"/>
    <w:rsid w:val="00066426"/>
    <w:rsid w:val="00072924"/>
    <w:rsid w:val="00072D7D"/>
    <w:rsid w:val="00073691"/>
    <w:rsid w:val="00080F1D"/>
    <w:rsid w:val="0008481B"/>
    <w:rsid w:val="00084BE1"/>
    <w:rsid w:val="00086186"/>
    <w:rsid w:val="000934E0"/>
    <w:rsid w:val="00094271"/>
    <w:rsid w:val="00094587"/>
    <w:rsid w:val="00097509"/>
    <w:rsid w:val="000A0AD2"/>
    <w:rsid w:val="000A0AE3"/>
    <w:rsid w:val="000A2238"/>
    <w:rsid w:val="000A2A39"/>
    <w:rsid w:val="000A5F3F"/>
    <w:rsid w:val="000A667B"/>
    <w:rsid w:val="000B3C85"/>
    <w:rsid w:val="000B42E2"/>
    <w:rsid w:val="000B6FD6"/>
    <w:rsid w:val="000B75E0"/>
    <w:rsid w:val="000C2AE7"/>
    <w:rsid w:val="000C41E1"/>
    <w:rsid w:val="000D3154"/>
    <w:rsid w:val="000D4138"/>
    <w:rsid w:val="000D458F"/>
    <w:rsid w:val="000D722C"/>
    <w:rsid w:val="000E0B95"/>
    <w:rsid w:val="000E2AC1"/>
    <w:rsid w:val="000E3618"/>
    <w:rsid w:val="000E54CA"/>
    <w:rsid w:val="000E59B6"/>
    <w:rsid w:val="000E5CED"/>
    <w:rsid w:val="000E63F3"/>
    <w:rsid w:val="000F41C9"/>
    <w:rsid w:val="001028B4"/>
    <w:rsid w:val="00103574"/>
    <w:rsid w:val="00107418"/>
    <w:rsid w:val="0011012E"/>
    <w:rsid w:val="00113475"/>
    <w:rsid w:val="001245E9"/>
    <w:rsid w:val="00125C7D"/>
    <w:rsid w:val="00126ABB"/>
    <w:rsid w:val="00127E98"/>
    <w:rsid w:val="001303B5"/>
    <w:rsid w:val="00132787"/>
    <w:rsid w:val="001328CA"/>
    <w:rsid w:val="00132956"/>
    <w:rsid w:val="00133116"/>
    <w:rsid w:val="001346D7"/>
    <w:rsid w:val="00140D72"/>
    <w:rsid w:val="00141170"/>
    <w:rsid w:val="00142054"/>
    <w:rsid w:val="00142081"/>
    <w:rsid w:val="00143497"/>
    <w:rsid w:val="00143FB9"/>
    <w:rsid w:val="00144453"/>
    <w:rsid w:val="00144BC6"/>
    <w:rsid w:val="0014573E"/>
    <w:rsid w:val="00146382"/>
    <w:rsid w:val="00146848"/>
    <w:rsid w:val="0015583E"/>
    <w:rsid w:val="00155A53"/>
    <w:rsid w:val="001561D1"/>
    <w:rsid w:val="001573E7"/>
    <w:rsid w:val="00157402"/>
    <w:rsid w:val="00157444"/>
    <w:rsid w:val="001579C4"/>
    <w:rsid w:val="001635E1"/>
    <w:rsid w:val="001644B3"/>
    <w:rsid w:val="001661E1"/>
    <w:rsid w:val="001665F8"/>
    <w:rsid w:val="00171761"/>
    <w:rsid w:val="0017239D"/>
    <w:rsid w:val="00176D6D"/>
    <w:rsid w:val="00181425"/>
    <w:rsid w:val="0018260F"/>
    <w:rsid w:val="001827AA"/>
    <w:rsid w:val="00182D62"/>
    <w:rsid w:val="001846A0"/>
    <w:rsid w:val="00184879"/>
    <w:rsid w:val="00184F6B"/>
    <w:rsid w:val="00191CA1"/>
    <w:rsid w:val="00193992"/>
    <w:rsid w:val="001A23B9"/>
    <w:rsid w:val="001A46A1"/>
    <w:rsid w:val="001A49A9"/>
    <w:rsid w:val="001A70A5"/>
    <w:rsid w:val="001B0957"/>
    <w:rsid w:val="001B0A27"/>
    <w:rsid w:val="001B13A8"/>
    <w:rsid w:val="001B2B6B"/>
    <w:rsid w:val="001B33C7"/>
    <w:rsid w:val="001B59F4"/>
    <w:rsid w:val="001B75BC"/>
    <w:rsid w:val="001B7CC4"/>
    <w:rsid w:val="001C0766"/>
    <w:rsid w:val="001C0905"/>
    <w:rsid w:val="001C1F3B"/>
    <w:rsid w:val="001C471F"/>
    <w:rsid w:val="001C732E"/>
    <w:rsid w:val="001D386C"/>
    <w:rsid w:val="001D555A"/>
    <w:rsid w:val="001D5B38"/>
    <w:rsid w:val="001D6473"/>
    <w:rsid w:val="001D7A64"/>
    <w:rsid w:val="001E2084"/>
    <w:rsid w:val="001E2D57"/>
    <w:rsid w:val="001E7022"/>
    <w:rsid w:val="001F19C0"/>
    <w:rsid w:val="001F5C1E"/>
    <w:rsid w:val="001F7170"/>
    <w:rsid w:val="001F75BD"/>
    <w:rsid w:val="001F7D4F"/>
    <w:rsid w:val="002022CE"/>
    <w:rsid w:val="00203BE6"/>
    <w:rsid w:val="00206619"/>
    <w:rsid w:val="00213DDF"/>
    <w:rsid w:val="002155F8"/>
    <w:rsid w:val="0021586A"/>
    <w:rsid w:val="00220299"/>
    <w:rsid w:val="00220361"/>
    <w:rsid w:val="00220ADC"/>
    <w:rsid w:val="00223689"/>
    <w:rsid w:val="00226586"/>
    <w:rsid w:val="002265F6"/>
    <w:rsid w:val="00230027"/>
    <w:rsid w:val="002303F2"/>
    <w:rsid w:val="00230BB9"/>
    <w:rsid w:val="0023235C"/>
    <w:rsid w:val="002325E7"/>
    <w:rsid w:val="00233A78"/>
    <w:rsid w:val="00242689"/>
    <w:rsid w:val="00243A75"/>
    <w:rsid w:val="00243BD6"/>
    <w:rsid w:val="00243E51"/>
    <w:rsid w:val="00245069"/>
    <w:rsid w:val="0024623B"/>
    <w:rsid w:val="00247246"/>
    <w:rsid w:val="00247E6F"/>
    <w:rsid w:val="002509D8"/>
    <w:rsid w:val="00253054"/>
    <w:rsid w:val="00253976"/>
    <w:rsid w:val="002541AD"/>
    <w:rsid w:val="002555C8"/>
    <w:rsid w:val="00256DA7"/>
    <w:rsid w:val="00257C4D"/>
    <w:rsid w:val="00257EC4"/>
    <w:rsid w:val="00260578"/>
    <w:rsid w:val="00261E70"/>
    <w:rsid w:val="00262E10"/>
    <w:rsid w:val="00262E48"/>
    <w:rsid w:val="00264864"/>
    <w:rsid w:val="00267BD3"/>
    <w:rsid w:val="00270BB2"/>
    <w:rsid w:val="002808CD"/>
    <w:rsid w:val="00280BD1"/>
    <w:rsid w:val="00281165"/>
    <w:rsid w:val="00281767"/>
    <w:rsid w:val="00281C20"/>
    <w:rsid w:val="00282725"/>
    <w:rsid w:val="0028630D"/>
    <w:rsid w:val="00286A6E"/>
    <w:rsid w:val="00291964"/>
    <w:rsid w:val="002928BE"/>
    <w:rsid w:val="00292BF0"/>
    <w:rsid w:val="00292C5D"/>
    <w:rsid w:val="002951EA"/>
    <w:rsid w:val="002956E9"/>
    <w:rsid w:val="002959B5"/>
    <w:rsid w:val="00295CC6"/>
    <w:rsid w:val="0029664C"/>
    <w:rsid w:val="00296F5C"/>
    <w:rsid w:val="00297A86"/>
    <w:rsid w:val="002A05D2"/>
    <w:rsid w:val="002A2E9E"/>
    <w:rsid w:val="002A3292"/>
    <w:rsid w:val="002A3AAE"/>
    <w:rsid w:val="002A53E2"/>
    <w:rsid w:val="002A7456"/>
    <w:rsid w:val="002B00C0"/>
    <w:rsid w:val="002B0731"/>
    <w:rsid w:val="002B083F"/>
    <w:rsid w:val="002B28E7"/>
    <w:rsid w:val="002B2B27"/>
    <w:rsid w:val="002B391D"/>
    <w:rsid w:val="002B599A"/>
    <w:rsid w:val="002B7527"/>
    <w:rsid w:val="002C1B00"/>
    <w:rsid w:val="002C575E"/>
    <w:rsid w:val="002C6292"/>
    <w:rsid w:val="002D0413"/>
    <w:rsid w:val="002D1450"/>
    <w:rsid w:val="002D1634"/>
    <w:rsid w:val="002D47A9"/>
    <w:rsid w:val="002D66BC"/>
    <w:rsid w:val="002D7C88"/>
    <w:rsid w:val="002E25A4"/>
    <w:rsid w:val="002E3892"/>
    <w:rsid w:val="002F0611"/>
    <w:rsid w:val="002F0708"/>
    <w:rsid w:val="002F5A3A"/>
    <w:rsid w:val="002F603B"/>
    <w:rsid w:val="002F6590"/>
    <w:rsid w:val="002F75F9"/>
    <w:rsid w:val="002F78C3"/>
    <w:rsid w:val="00302002"/>
    <w:rsid w:val="003020B7"/>
    <w:rsid w:val="003025CB"/>
    <w:rsid w:val="00302E54"/>
    <w:rsid w:val="00304644"/>
    <w:rsid w:val="00305D0B"/>
    <w:rsid w:val="00306D4C"/>
    <w:rsid w:val="003071B8"/>
    <w:rsid w:val="0031015D"/>
    <w:rsid w:val="0031059D"/>
    <w:rsid w:val="00310BA7"/>
    <w:rsid w:val="00312593"/>
    <w:rsid w:val="00312E39"/>
    <w:rsid w:val="00313D51"/>
    <w:rsid w:val="00314875"/>
    <w:rsid w:val="00314D71"/>
    <w:rsid w:val="00320BD5"/>
    <w:rsid w:val="00322168"/>
    <w:rsid w:val="00323E52"/>
    <w:rsid w:val="00325486"/>
    <w:rsid w:val="00325819"/>
    <w:rsid w:val="00327CC5"/>
    <w:rsid w:val="00332883"/>
    <w:rsid w:val="00336F3B"/>
    <w:rsid w:val="00336F9C"/>
    <w:rsid w:val="003433BB"/>
    <w:rsid w:val="00343601"/>
    <w:rsid w:val="00343F25"/>
    <w:rsid w:val="00344696"/>
    <w:rsid w:val="00347D95"/>
    <w:rsid w:val="00353132"/>
    <w:rsid w:val="003532FF"/>
    <w:rsid w:val="00353C04"/>
    <w:rsid w:val="00355AD1"/>
    <w:rsid w:val="003564EE"/>
    <w:rsid w:val="003566D5"/>
    <w:rsid w:val="003618D2"/>
    <w:rsid w:val="003626BB"/>
    <w:rsid w:val="003626FC"/>
    <w:rsid w:val="00362B34"/>
    <w:rsid w:val="0036431F"/>
    <w:rsid w:val="00366664"/>
    <w:rsid w:val="003669EF"/>
    <w:rsid w:val="00366DDE"/>
    <w:rsid w:val="00372170"/>
    <w:rsid w:val="00372560"/>
    <w:rsid w:val="00372B63"/>
    <w:rsid w:val="0037397E"/>
    <w:rsid w:val="00373A93"/>
    <w:rsid w:val="00375720"/>
    <w:rsid w:val="003764F0"/>
    <w:rsid w:val="00377B78"/>
    <w:rsid w:val="00377F03"/>
    <w:rsid w:val="00381209"/>
    <w:rsid w:val="00383648"/>
    <w:rsid w:val="00386F37"/>
    <w:rsid w:val="0038791A"/>
    <w:rsid w:val="00391A1E"/>
    <w:rsid w:val="00397D43"/>
    <w:rsid w:val="003A13A2"/>
    <w:rsid w:val="003A674A"/>
    <w:rsid w:val="003A6770"/>
    <w:rsid w:val="003A696F"/>
    <w:rsid w:val="003A726E"/>
    <w:rsid w:val="003A736E"/>
    <w:rsid w:val="003A78B4"/>
    <w:rsid w:val="003B1CB8"/>
    <w:rsid w:val="003B4D40"/>
    <w:rsid w:val="003B4D7E"/>
    <w:rsid w:val="003B5572"/>
    <w:rsid w:val="003B55F9"/>
    <w:rsid w:val="003B68E6"/>
    <w:rsid w:val="003B7CCB"/>
    <w:rsid w:val="003C32CE"/>
    <w:rsid w:val="003C3713"/>
    <w:rsid w:val="003C4B23"/>
    <w:rsid w:val="003C5C01"/>
    <w:rsid w:val="003C7161"/>
    <w:rsid w:val="003D0407"/>
    <w:rsid w:val="003D0985"/>
    <w:rsid w:val="003D0D77"/>
    <w:rsid w:val="003D18E0"/>
    <w:rsid w:val="003D2E75"/>
    <w:rsid w:val="003E01F2"/>
    <w:rsid w:val="003E2C08"/>
    <w:rsid w:val="003E3498"/>
    <w:rsid w:val="003E379F"/>
    <w:rsid w:val="003E7EB4"/>
    <w:rsid w:val="003F1FA7"/>
    <w:rsid w:val="003F27CE"/>
    <w:rsid w:val="003F5881"/>
    <w:rsid w:val="003F7BA7"/>
    <w:rsid w:val="00402BF7"/>
    <w:rsid w:val="00403EE4"/>
    <w:rsid w:val="00405D11"/>
    <w:rsid w:val="0042155D"/>
    <w:rsid w:val="0042324E"/>
    <w:rsid w:val="00427392"/>
    <w:rsid w:val="00430069"/>
    <w:rsid w:val="00432666"/>
    <w:rsid w:val="00433311"/>
    <w:rsid w:val="00437078"/>
    <w:rsid w:val="00440AA6"/>
    <w:rsid w:val="00442470"/>
    <w:rsid w:val="00444456"/>
    <w:rsid w:val="004447A5"/>
    <w:rsid w:val="00445BD7"/>
    <w:rsid w:val="00450117"/>
    <w:rsid w:val="00450F8E"/>
    <w:rsid w:val="004510B5"/>
    <w:rsid w:val="00452191"/>
    <w:rsid w:val="00452DE5"/>
    <w:rsid w:val="00455DD3"/>
    <w:rsid w:val="00455EE8"/>
    <w:rsid w:val="004564C2"/>
    <w:rsid w:val="00456E9F"/>
    <w:rsid w:val="00457346"/>
    <w:rsid w:val="00460F76"/>
    <w:rsid w:val="0046109B"/>
    <w:rsid w:val="00463249"/>
    <w:rsid w:val="00463C62"/>
    <w:rsid w:val="004644CA"/>
    <w:rsid w:val="004659ED"/>
    <w:rsid w:val="00466F8F"/>
    <w:rsid w:val="004670F9"/>
    <w:rsid w:val="00467D8C"/>
    <w:rsid w:val="004705FD"/>
    <w:rsid w:val="004708D8"/>
    <w:rsid w:val="0047218B"/>
    <w:rsid w:val="004749A9"/>
    <w:rsid w:val="00475F0F"/>
    <w:rsid w:val="0048064A"/>
    <w:rsid w:val="00480A50"/>
    <w:rsid w:val="00480CC8"/>
    <w:rsid w:val="0048260A"/>
    <w:rsid w:val="00482B49"/>
    <w:rsid w:val="004834D3"/>
    <w:rsid w:val="004845F1"/>
    <w:rsid w:val="00484C2F"/>
    <w:rsid w:val="00486364"/>
    <w:rsid w:val="00487632"/>
    <w:rsid w:val="00490CC6"/>
    <w:rsid w:val="00492314"/>
    <w:rsid w:val="00493300"/>
    <w:rsid w:val="00493EB0"/>
    <w:rsid w:val="00497121"/>
    <w:rsid w:val="00497CCD"/>
    <w:rsid w:val="00497F92"/>
    <w:rsid w:val="004A0D30"/>
    <w:rsid w:val="004A12FF"/>
    <w:rsid w:val="004A1A20"/>
    <w:rsid w:val="004A594A"/>
    <w:rsid w:val="004A7B75"/>
    <w:rsid w:val="004B1047"/>
    <w:rsid w:val="004B37C0"/>
    <w:rsid w:val="004B504D"/>
    <w:rsid w:val="004B51AE"/>
    <w:rsid w:val="004B62B2"/>
    <w:rsid w:val="004B7B67"/>
    <w:rsid w:val="004C073B"/>
    <w:rsid w:val="004C0F85"/>
    <w:rsid w:val="004C27B3"/>
    <w:rsid w:val="004C2D23"/>
    <w:rsid w:val="004C3A9C"/>
    <w:rsid w:val="004C5325"/>
    <w:rsid w:val="004C58C8"/>
    <w:rsid w:val="004C60B5"/>
    <w:rsid w:val="004C6187"/>
    <w:rsid w:val="004C679F"/>
    <w:rsid w:val="004D25D1"/>
    <w:rsid w:val="004D26BE"/>
    <w:rsid w:val="004D3954"/>
    <w:rsid w:val="004D43DA"/>
    <w:rsid w:val="004D6E08"/>
    <w:rsid w:val="004E0CCF"/>
    <w:rsid w:val="004E11E0"/>
    <w:rsid w:val="004E122B"/>
    <w:rsid w:val="004E1C7C"/>
    <w:rsid w:val="004E387A"/>
    <w:rsid w:val="004F0F8A"/>
    <w:rsid w:val="004F551B"/>
    <w:rsid w:val="004F759C"/>
    <w:rsid w:val="005002F4"/>
    <w:rsid w:val="00504A37"/>
    <w:rsid w:val="0050527B"/>
    <w:rsid w:val="00507079"/>
    <w:rsid w:val="005113F7"/>
    <w:rsid w:val="00512569"/>
    <w:rsid w:val="00512E64"/>
    <w:rsid w:val="00513C5D"/>
    <w:rsid w:val="00520972"/>
    <w:rsid w:val="00520C37"/>
    <w:rsid w:val="00521F4D"/>
    <w:rsid w:val="00522B30"/>
    <w:rsid w:val="00523173"/>
    <w:rsid w:val="00523E6E"/>
    <w:rsid w:val="00524B21"/>
    <w:rsid w:val="00526598"/>
    <w:rsid w:val="00535088"/>
    <w:rsid w:val="00542DB2"/>
    <w:rsid w:val="00543184"/>
    <w:rsid w:val="00543958"/>
    <w:rsid w:val="005446D7"/>
    <w:rsid w:val="0054529B"/>
    <w:rsid w:val="005452CF"/>
    <w:rsid w:val="0054602C"/>
    <w:rsid w:val="005468BB"/>
    <w:rsid w:val="00551C08"/>
    <w:rsid w:val="00554A49"/>
    <w:rsid w:val="005561B4"/>
    <w:rsid w:val="00557935"/>
    <w:rsid w:val="005654D2"/>
    <w:rsid w:val="00566D41"/>
    <w:rsid w:val="0056723F"/>
    <w:rsid w:val="00571A14"/>
    <w:rsid w:val="00571CD0"/>
    <w:rsid w:val="00572425"/>
    <w:rsid w:val="005754A0"/>
    <w:rsid w:val="00576177"/>
    <w:rsid w:val="00580F93"/>
    <w:rsid w:val="00581BE8"/>
    <w:rsid w:val="00581F82"/>
    <w:rsid w:val="0058546F"/>
    <w:rsid w:val="00591E4B"/>
    <w:rsid w:val="00592B6A"/>
    <w:rsid w:val="00592BC5"/>
    <w:rsid w:val="00593655"/>
    <w:rsid w:val="00593897"/>
    <w:rsid w:val="005943BE"/>
    <w:rsid w:val="005952D6"/>
    <w:rsid w:val="00595C0E"/>
    <w:rsid w:val="00597C26"/>
    <w:rsid w:val="005A14B1"/>
    <w:rsid w:val="005A2D65"/>
    <w:rsid w:val="005A48F8"/>
    <w:rsid w:val="005A558F"/>
    <w:rsid w:val="005A5A66"/>
    <w:rsid w:val="005A6ECE"/>
    <w:rsid w:val="005A7F10"/>
    <w:rsid w:val="005B0F06"/>
    <w:rsid w:val="005B2688"/>
    <w:rsid w:val="005B46CA"/>
    <w:rsid w:val="005B6D41"/>
    <w:rsid w:val="005C09B0"/>
    <w:rsid w:val="005D075C"/>
    <w:rsid w:val="005D0AF6"/>
    <w:rsid w:val="005D295A"/>
    <w:rsid w:val="005D2A25"/>
    <w:rsid w:val="005D6DE5"/>
    <w:rsid w:val="005E08C9"/>
    <w:rsid w:val="005E0AFA"/>
    <w:rsid w:val="005E1284"/>
    <w:rsid w:val="005E266B"/>
    <w:rsid w:val="005E2888"/>
    <w:rsid w:val="005E5FB8"/>
    <w:rsid w:val="005E6154"/>
    <w:rsid w:val="005E6685"/>
    <w:rsid w:val="005E7403"/>
    <w:rsid w:val="005F0117"/>
    <w:rsid w:val="005F25FB"/>
    <w:rsid w:val="005F6A2D"/>
    <w:rsid w:val="005F6B98"/>
    <w:rsid w:val="005F7639"/>
    <w:rsid w:val="00600C59"/>
    <w:rsid w:val="0060114F"/>
    <w:rsid w:val="00602E8F"/>
    <w:rsid w:val="00603E73"/>
    <w:rsid w:val="00605B31"/>
    <w:rsid w:val="0060728E"/>
    <w:rsid w:val="00607312"/>
    <w:rsid w:val="0061098A"/>
    <w:rsid w:val="00611C6B"/>
    <w:rsid w:val="00611E45"/>
    <w:rsid w:val="006136DC"/>
    <w:rsid w:val="00614503"/>
    <w:rsid w:val="006148ED"/>
    <w:rsid w:val="00616352"/>
    <w:rsid w:val="00616488"/>
    <w:rsid w:val="00617733"/>
    <w:rsid w:val="00621B44"/>
    <w:rsid w:val="00623FC4"/>
    <w:rsid w:val="00627325"/>
    <w:rsid w:val="006306E2"/>
    <w:rsid w:val="0063380E"/>
    <w:rsid w:val="00634099"/>
    <w:rsid w:val="00634B14"/>
    <w:rsid w:val="00635B9C"/>
    <w:rsid w:val="006375E0"/>
    <w:rsid w:val="006403F5"/>
    <w:rsid w:val="00640792"/>
    <w:rsid w:val="006410A1"/>
    <w:rsid w:val="006414AB"/>
    <w:rsid w:val="006417CB"/>
    <w:rsid w:val="00641870"/>
    <w:rsid w:val="0064283A"/>
    <w:rsid w:val="00642889"/>
    <w:rsid w:val="006428DC"/>
    <w:rsid w:val="006437F9"/>
    <w:rsid w:val="00644671"/>
    <w:rsid w:val="00645957"/>
    <w:rsid w:val="006479BB"/>
    <w:rsid w:val="00652A15"/>
    <w:rsid w:val="00653DD4"/>
    <w:rsid w:val="00662C8A"/>
    <w:rsid w:val="00662E73"/>
    <w:rsid w:val="00663EAB"/>
    <w:rsid w:val="00663F6F"/>
    <w:rsid w:val="00670DBC"/>
    <w:rsid w:val="006724CD"/>
    <w:rsid w:val="00674D78"/>
    <w:rsid w:val="006756B2"/>
    <w:rsid w:val="00675720"/>
    <w:rsid w:val="00680B78"/>
    <w:rsid w:val="006812F0"/>
    <w:rsid w:val="006815B9"/>
    <w:rsid w:val="00682D51"/>
    <w:rsid w:val="00682DF2"/>
    <w:rsid w:val="00686070"/>
    <w:rsid w:val="006865D8"/>
    <w:rsid w:val="0069165D"/>
    <w:rsid w:val="00691C9C"/>
    <w:rsid w:val="00693199"/>
    <w:rsid w:val="00693B2A"/>
    <w:rsid w:val="00694E3A"/>
    <w:rsid w:val="006A0305"/>
    <w:rsid w:val="006A3218"/>
    <w:rsid w:val="006A7975"/>
    <w:rsid w:val="006B273A"/>
    <w:rsid w:val="006B3878"/>
    <w:rsid w:val="006B5F6C"/>
    <w:rsid w:val="006C04A8"/>
    <w:rsid w:val="006C3017"/>
    <w:rsid w:val="006C4679"/>
    <w:rsid w:val="006C7142"/>
    <w:rsid w:val="006C766C"/>
    <w:rsid w:val="006C7C0C"/>
    <w:rsid w:val="006D4AD0"/>
    <w:rsid w:val="006D5846"/>
    <w:rsid w:val="006D7841"/>
    <w:rsid w:val="006E078C"/>
    <w:rsid w:val="006E202C"/>
    <w:rsid w:val="006E2BE3"/>
    <w:rsid w:val="006E39EE"/>
    <w:rsid w:val="006E3DD2"/>
    <w:rsid w:val="006E3F31"/>
    <w:rsid w:val="006E48C3"/>
    <w:rsid w:val="006F09A9"/>
    <w:rsid w:val="006F213F"/>
    <w:rsid w:val="006F3F81"/>
    <w:rsid w:val="006F571B"/>
    <w:rsid w:val="006F79C4"/>
    <w:rsid w:val="00704493"/>
    <w:rsid w:val="00707B7E"/>
    <w:rsid w:val="00711E3D"/>
    <w:rsid w:val="0071514F"/>
    <w:rsid w:val="007162CD"/>
    <w:rsid w:val="00717CE4"/>
    <w:rsid w:val="007206CA"/>
    <w:rsid w:val="007259DA"/>
    <w:rsid w:val="00725F71"/>
    <w:rsid w:val="00735E40"/>
    <w:rsid w:val="007406D0"/>
    <w:rsid w:val="00741670"/>
    <w:rsid w:val="00741992"/>
    <w:rsid w:val="00741BB9"/>
    <w:rsid w:val="00745CBD"/>
    <w:rsid w:val="00751022"/>
    <w:rsid w:val="007519C6"/>
    <w:rsid w:val="00751E50"/>
    <w:rsid w:val="00753F8D"/>
    <w:rsid w:val="007616D2"/>
    <w:rsid w:val="00767E85"/>
    <w:rsid w:val="00767E91"/>
    <w:rsid w:val="0077107A"/>
    <w:rsid w:val="0077135B"/>
    <w:rsid w:val="00774180"/>
    <w:rsid w:val="00774DC8"/>
    <w:rsid w:val="0078094F"/>
    <w:rsid w:val="00781BF3"/>
    <w:rsid w:val="007830EE"/>
    <w:rsid w:val="007852F4"/>
    <w:rsid w:val="007865B7"/>
    <w:rsid w:val="00786660"/>
    <w:rsid w:val="007907A5"/>
    <w:rsid w:val="0079325C"/>
    <w:rsid w:val="00794D27"/>
    <w:rsid w:val="00796152"/>
    <w:rsid w:val="007A0E6B"/>
    <w:rsid w:val="007A1246"/>
    <w:rsid w:val="007A453B"/>
    <w:rsid w:val="007A47E3"/>
    <w:rsid w:val="007A62D8"/>
    <w:rsid w:val="007A6A89"/>
    <w:rsid w:val="007B0CD2"/>
    <w:rsid w:val="007B249D"/>
    <w:rsid w:val="007B3650"/>
    <w:rsid w:val="007B3835"/>
    <w:rsid w:val="007B5DBE"/>
    <w:rsid w:val="007C6FCC"/>
    <w:rsid w:val="007C7011"/>
    <w:rsid w:val="007D09AF"/>
    <w:rsid w:val="007D1F3A"/>
    <w:rsid w:val="007D228C"/>
    <w:rsid w:val="007D30B7"/>
    <w:rsid w:val="007D3B2B"/>
    <w:rsid w:val="007D60B9"/>
    <w:rsid w:val="007D7DCC"/>
    <w:rsid w:val="007E2669"/>
    <w:rsid w:val="007E2BDD"/>
    <w:rsid w:val="007E33E7"/>
    <w:rsid w:val="007E3C52"/>
    <w:rsid w:val="007E3CA6"/>
    <w:rsid w:val="007E41D1"/>
    <w:rsid w:val="007E4B48"/>
    <w:rsid w:val="007E6630"/>
    <w:rsid w:val="007E664E"/>
    <w:rsid w:val="007E6697"/>
    <w:rsid w:val="007E6C07"/>
    <w:rsid w:val="007F0D67"/>
    <w:rsid w:val="007F10BC"/>
    <w:rsid w:val="007F15D6"/>
    <w:rsid w:val="007F1857"/>
    <w:rsid w:val="007F2B49"/>
    <w:rsid w:val="007F3E62"/>
    <w:rsid w:val="007F737A"/>
    <w:rsid w:val="007F79C7"/>
    <w:rsid w:val="008023B1"/>
    <w:rsid w:val="00804CFA"/>
    <w:rsid w:val="00807935"/>
    <w:rsid w:val="0081036A"/>
    <w:rsid w:val="00810B67"/>
    <w:rsid w:val="00811E23"/>
    <w:rsid w:val="00812622"/>
    <w:rsid w:val="00812D1B"/>
    <w:rsid w:val="0081439E"/>
    <w:rsid w:val="00816B39"/>
    <w:rsid w:val="008218E0"/>
    <w:rsid w:val="008231B1"/>
    <w:rsid w:val="00824BE3"/>
    <w:rsid w:val="00830A28"/>
    <w:rsid w:val="00830E91"/>
    <w:rsid w:val="00834661"/>
    <w:rsid w:val="008427A5"/>
    <w:rsid w:val="00842961"/>
    <w:rsid w:val="00844F50"/>
    <w:rsid w:val="00844FD0"/>
    <w:rsid w:val="00845D5C"/>
    <w:rsid w:val="00845FB9"/>
    <w:rsid w:val="00846524"/>
    <w:rsid w:val="008466C8"/>
    <w:rsid w:val="00850F46"/>
    <w:rsid w:val="008532E6"/>
    <w:rsid w:val="008537EA"/>
    <w:rsid w:val="00854A7E"/>
    <w:rsid w:val="00857669"/>
    <w:rsid w:val="008604AE"/>
    <w:rsid w:val="008619D6"/>
    <w:rsid w:val="00862991"/>
    <w:rsid w:val="00864F75"/>
    <w:rsid w:val="008652B9"/>
    <w:rsid w:val="00866569"/>
    <w:rsid w:val="00870F69"/>
    <w:rsid w:val="00872BF8"/>
    <w:rsid w:val="00872C88"/>
    <w:rsid w:val="00873392"/>
    <w:rsid w:val="00873A21"/>
    <w:rsid w:val="00876DFB"/>
    <w:rsid w:val="008770D2"/>
    <w:rsid w:val="008801B2"/>
    <w:rsid w:val="00882678"/>
    <w:rsid w:val="008841FB"/>
    <w:rsid w:val="00886992"/>
    <w:rsid w:val="00892821"/>
    <w:rsid w:val="008934F2"/>
    <w:rsid w:val="00893C0A"/>
    <w:rsid w:val="00894ABB"/>
    <w:rsid w:val="0089656A"/>
    <w:rsid w:val="00896CBA"/>
    <w:rsid w:val="00897082"/>
    <w:rsid w:val="008A08BF"/>
    <w:rsid w:val="008A0CCF"/>
    <w:rsid w:val="008A0DD3"/>
    <w:rsid w:val="008A3AE0"/>
    <w:rsid w:val="008B2704"/>
    <w:rsid w:val="008B6CF2"/>
    <w:rsid w:val="008B7367"/>
    <w:rsid w:val="008C0996"/>
    <w:rsid w:val="008C176C"/>
    <w:rsid w:val="008C1771"/>
    <w:rsid w:val="008C200C"/>
    <w:rsid w:val="008C3A8E"/>
    <w:rsid w:val="008C3FC1"/>
    <w:rsid w:val="008C48EE"/>
    <w:rsid w:val="008C66FE"/>
    <w:rsid w:val="008C6730"/>
    <w:rsid w:val="008C6A30"/>
    <w:rsid w:val="008D379E"/>
    <w:rsid w:val="008D40F6"/>
    <w:rsid w:val="008D6E70"/>
    <w:rsid w:val="008D6EDE"/>
    <w:rsid w:val="008E0902"/>
    <w:rsid w:val="008E1EEF"/>
    <w:rsid w:val="008E4924"/>
    <w:rsid w:val="008F3D33"/>
    <w:rsid w:val="008F3DB3"/>
    <w:rsid w:val="008F4856"/>
    <w:rsid w:val="008F4BFE"/>
    <w:rsid w:val="008F4E21"/>
    <w:rsid w:val="008F5EF0"/>
    <w:rsid w:val="00901833"/>
    <w:rsid w:val="00902B74"/>
    <w:rsid w:val="00902FF9"/>
    <w:rsid w:val="00903240"/>
    <w:rsid w:val="00904F88"/>
    <w:rsid w:val="009054C0"/>
    <w:rsid w:val="00907E2C"/>
    <w:rsid w:val="0091178C"/>
    <w:rsid w:val="00914164"/>
    <w:rsid w:val="009150E4"/>
    <w:rsid w:val="00916A0E"/>
    <w:rsid w:val="00920373"/>
    <w:rsid w:val="00920AA5"/>
    <w:rsid w:val="00921625"/>
    <w:rsid w:val="00921F4E"/>
    <w:rsid w:val="00922197"/>
    <w:rsid w:val="00923541"/>
    <w:rsid w:val="00925B11"/>
    <w:rsid w:val="00925E12"/>
    <w:rsid w:val="00932905"/>
    <w:rsid w:val="009331A2"/>
    <w:rsid w:val="00933632"/>
    <w:rsid w:val="00935F7E"/>
    <w:rsid w:val="009426D6"/>
    <w:rsid w:val="00943241"/>
    <w:rsid w:val="00944224"/>
    <w:rsid w:val="00945B66"/>
    <w:rsid w:val="00945C02"/>
    <w:rsid w:val="0094707F"/>
    <w:rsid w:val="00950DD8"/>
    <w:rsid w:val="00953797"/>
    <w:rsid w:val="009555AB"/>
    <w:rsid w:val="009613E3"/>
    <w:rsid w:val="0096165F"/>
    <w:rsid w:val="00962C1B"/>
    <w:rsid w:val="00963407"/>
    <w:rsid w:val="00966E9C"/>
    <w:rsid w:val="00966EAF"/>
    <w:rsid w:val="009705C8"/>
    <w:rsid w:val="0097087F"/>
    <w:rsid w:val="0097212F"/>
    <w:rsid w:val="00976517"/>
    <w:rsid w:val="0098017D"/>
    <w:rsid w:val="0098128E"/>
    <w:rsid w:val="009825EC"/>
    <w:rsid w:val="00985BC1"/>
    <w:rsid w:val="00987277"/>
    <w:rsid w:val="00991537"/>
    <w:rsid w:val="00994114"/>
    <w:rsid w:val="00994C99"/>
    <w:rsid w:val="00995A23"/>
    <w:rsid w:val="00996497"/>
    <w:rsid w:val="0099768E"/>
    <w:rsid w:val="009A136D"/>
    <w:rsid w:val="009A3CC1"/>
    <w:rsid w:val="009A624A"/>
    <w:rsid w:val="009A73BB"/>
    <w:rsid w:val="009B1872"/>
    <w:rsid w:val="009B3C89"/>
    <w:rsid w:val="009B553E"/>
    <w:rsid w:val="009B5CE6"/>
    <w:rsid w:val="009B625B"/>
    <w:rsid w:val="009B6DB5"/>
    <w:rsid w:val="009C5BE3"/>
    <w:rsid w:val="009C6AE1"/>
    <w:rsid w:val="009C7F16"/>
    <w:rsid w:val="009D1AB0"/>
    <w:rsid w:val="009D3A70"/>
    <w:rsid w:val="009D3C80"/>
    <w:rsid w:val="009D5C3A"/>
    <w:rsid w:val="009E1B41"/>
    <w:rsid w:val="009E4F62"/>
    <w:rsid w:val="009E5AA1"/>
    <w:rsid w:val="009E6D3C"/>
    <w:rsid w:val="009F03AD"/>
    <w:rsid w:val="009F056E"/>
    <w:rsid w:val="009F4886"/>
    <w:rsid w:val="009F57E1"/>
    <w:rsid w:val="009F6D37"/>
    <w:rsid w:val="00A0280E"/>
    <w:rsid w:val="00A04CFB"/>
    <w:rsid w:val="00A0566B"/>
    <w:rsid w:val="00A1040B"/>
    <w:rsid w:val="00A11D73"/>
    <w:rsid w:val="00A134DF"/>
    <w:rsid w:val="00A1353A"/>
    <w:rsid w:val="00A14547"/>
    <w:rsid w:val="00A17A94"/>
    <w:rsid w:val="00A21A66"/>
    <w:rsid w:val="00A22964"/>
    <w:rsid w:val="00A27DC7"/>
    <w:rsid w:val="00A32120"/>
    <w:rsid w:val="00A32698"/>
    <w:rsid w:val="00A32BEC"/>
    <w:rsid w:val="00A4042F"/>
    <w:rsid w:val="00A41181"/>
    <w:rsid w:val="00A4199E"/>
    <w:rsid w:val="00A442C3"/>
    <w:rsid w:val="00A44D08"/>
    <w:rsid w:val="00A47DCF"/>
    <w:rsid w:val="00A5176E"/>
    <w:rsid w:val="00A51F0C"/>
    <w:rsid w:val="00A52D33"/>
    <w:rsid w:val="00A52F93"/>
    <w:rsid w:val="00A54C85"/>
    <w:rsid w:val="00A60296"/>
    <w:rsid w:val="00A602F7"/>
    <w:rsid w:val="00A60871"/>
    <w:rsid w:val="00A60B2A"/>
    <w:rsid w:val="00A60E2A"/>
    <w:rsid w:val="00A61EED"/>
    <w:rsid w:val="00A622B7"/>
    <w:rsid w:val="00A62A14"/>
    <w:rsid w:val="00A64298"/>
    <w:rsid w:val="00A65243"/>
    <w:rsid w:val="00A659DF"/>
    <w:rsid w:val="00A67394"/>
    <w:rsid w:val="00A67679"/>
    <w:rsid w:val="00A702A7"/>
    <w:rsid w:val="00A71532"/>
    <w:rsid w:val="00A72D8E"/>
    <w:rsid w:val="00A74FC5"/>
    <w:rsid w:val="00A758CD"/>
    <w:rsid w:val="00A82B47"/>
    <w:rsid w:val="00A83029"/>
    <w:rsid w:val="00A836FC"/>
    <w:rsid w:val="00A8399B"/>
    <w:rsid w:val="00A87554"/>
    <w:rsid w:val="00A905CD"/>
    <w:rsid w:val="00A9262E"/>
    <w:rsid w:val="00A9569B"/>
    <w:rsid w:val="00A958C6"/>
    <w:rsid w:val="00A95A91"/>
    <w:rsid w:val="00A964B2"/>
    <w:rsid w:val="00A972AD"/>
    <w:rsid w:val="00AA27D8"/>
    <w:rsid w:val="00AA4F70"/>
    <w:rsid w:val="00AA5004"/>
    <w:rsid w:val="00AB1438"/>
    <w:rsid w:val="00AB31D6"/>
    <w:rsid w:val="00AB36D7"/>
    <w:rsid w:val="00AB5B06"/>
    <w:rsid w:val="00AB6C93"/>
    <w:rsid w:val="00AB755A"/>
    <w:rsid w:val="00AB7C3B"/>
    <w:rsid w:val="00AB7E35"/>
    <w:rsid w:val="00AC0838"/>
    <w:rsid w:val="00AC21A9"/>
    <w:rsid w:val="00AC2E67"/>
    <w:rsid w:val="00AC307F"/>
    <w:rsid w:val="00AC318B"/>
    <w:rsid w:val="00AC3A2D"/>
    <w:rsid w:val="00AC5733"/>
    <w:rsid w:val="00AC5E17"/>
    <w:rsid w:val="00AC5E3C"/>
    <w:rsid w:val="00AC5E8D"/>
    <w:rsid w:val="00AD498D"/>
    <w:rsid w:val="00AD4C1C"/>
    <w:rsid w:val="00AD4C23"/>
    <w:rsid w:val="00AD7802"/>
    <w:rsid w:val="00AD78E2"/>
    <w:rsid w:val="00AE0493"/>
    <w:rsid w:val="00AE171D"/>
    <w:rsid w:val="00AE3BD5"/>
    <w:rsid w:val="00AE6038"/>
    <w:rsid w:val="00AF0943"/>
    <w:rsid w:val="00AF0E11"/>
    <w:rsid w:val="00AF333E"/>
    <w:rsid w:val="00AF617B"/>
    <w:rsid w:val="00B013DF"/>
    <w:rsid w:val="00B0365E"/>
    <w:rsid w:val="00B03CE0"/>
    <w:rsid w:val="00B11545"/>
    <w:rsid w:val="00B125B8"/>
    <w:rsid w:val="00B13AA1"/>
    <w:rsid w:val="00B20B3C"/>
    <w:rsid w:val="00B21BDD"/>
    <w:rsid w:val="00B21EF9"/>
    <w:rsid w:val="00B2293F"/>
    <w:rsid w:val="00B24122"/>
    <w:rsid w:val="00B25EC4"/>
    <w:rsid w:val="00B25F67"/>
    <w:rsid w:val="00B26148"/>
    <w:rsid w:val="00B3425B"/>
    <w:rsid w:val="00B36500"/>
    <w:rsid w:val="00B43855"/>
    <w:rsid w:val="00B46877"/>
    <w:rsid w:val="00B4723C"/>
    <w:rsid w:val="00B510D7"/>
    <w:rsid w:val="00B526DF"/>
    <w:rsid w:val="00B52A5D"/>
    <w:rsid w:val="00B53F57"/>
    <w:rsid w:val="00B5480B"/>
    <w:rsid w:val="00B54AEA"/>
    <w:rsid w:val="00B56784"/>
    <w:rsid w:val="00B621B9"/>
    <w:rsid w:val="00B649D7"/>
    <w:rsid w:val="00B65927"/>
    <w:rsid w:val="00B67031"/>
    <w:rsid w:val="00B6723A"/>
    <w:rsid w:val="00B71206"/>
    <w:rsid w:val="00B73371"/>
    <w:rsid w:val="00B759AA"/>
    <w:rsid w:val="00B75A6A"/>
    <w:rsid w:val="00B77963"/>
    <w:rsid w:val="00B824DA"/>
    <w:rsid w:val="00B8381B"/>
    <w:rsid w:val="00B845A4"/>
    <w:rsid w:val="00B86533"/>
    <w:rsid w:val="00B90D53"/>
    <w:rsid w:val="00B9193E"/>
    <w:rsid w:val="00B94055"/>
    <w:rsid w:val="00BA4283"/>
    <w:rsid w:val="00BA6401"/>
    <w:rsid w:val="00BA665D"/>
    <w:rsid w:val="00BA781B"/>
    <w:rsid w:val="00BB2014"/>
    <w:rsid w:val="00BB2962"/>
    <w:rsid w:val="00BB77E9"/>
    <w:rsid w:val="00BC0043"/>
    <w:rsid w:val="00BC0C34"/>
    <w:rsid w:val="00BC1E05"/>
    <w:rsid w:val="00BC1FEF"/>
    <w:rsid w:val="00BC582C"/>
    <w:rsid w:val="00BC625C"/>
    <w:rsid w:val="00BC7ED5"/>
    <w:rsid w:val="00BD0154"/>
    <w:rsid w:val="00BD0A07"/>
    <w:rsid w:val="00BD217B"/>
    <w:rsid w:val="00BD47FA"/>
    <w:rsid w:val="00BD6336"/>
    <w:rsid w:val="00BD6D11"/>
    <w:rsid w:val="00BD7208"/>
    <w:rsid w:val="00BE1F14"/>
    <w:rsid w:val="00BE2446"/>
    <w:rsid w:val="00BE35CF"/>
    <w:rsid w:val="00BE42E4"/>
    <w:rsid w:val="00BE615F"/>
    <w:rsid w:val="00BE714B"/>
    <w:rsid w:val="00BF029E"/>
    <w:rsid w:val="00BF0FD6"/>
    <w:rsid w:val="00BF1DEF"/>
    <w:rsid w:val="00BF2404"/>
    <w:rsid w:val="00BF45C1"/>
    <w:rsid w:val="00BF45D4"/>
    <w:rsid w:val="00C01DB2"/>
    <w:rsid w:val="00C0604A"/>
    <w:rsid w:val="00C072F4"/>
    <w:rsid w:val="00C131F6"/>
    <w:rsid w:val="00C17A6A"/>
    <w:rsid w:val="00C17CEE"/>
    <w:rsid w:val="00C20001"/>
    <w:rsid w:val="00C20BED"/>
    <w:rsid w:val="00C22814"/>
    <w:rsid w:val="00C2532B"/>
    <w:rsid w:val="00C25C2E"/>
    <w:rsid w:val="00C26218"/>
    <w:rsid w:val="00C26894"/>
    <w:rsid w:val="00C30684"/>
    <w:rsid w:val="00C315A3"/>
    <w:rsid w:val="00C31AB1"/>
    <w:rsid w:val="00C31E50"/>
    <w:rsid w:val="00C3704A"/>
    <w:rsid w:val="00C37E1A"/>
    <w:rsid w:val="00C409B9"/>
    <w:rsid w:val="00C42223"/>
    <w:rsid w:val="00C42814"/>
    <w:rsid w:val="00C4550F"/>
    <w:rsid w:val="00C5582E"/>
    <w:rsid w:val="00C5655F"/>
    <w:rsid w:val="00C56AD3"/>
    <w:rsid w:val="00C60F18"/>
    <w:rsid w:val="00C61946"/>
    <w:rsid w:val="00C6310F"/>
    <w:rsid w:val="00C6681F"/>
    <w:rsid w:val="00C80DAA"/>
    <w:rsid w:val="00C80F62"/>
    <w:rsid w:val="00C82D38"/>
    <w:rsid w:val="00C849FE"/>
    <w:rsid w:val="00C8507B"/>
    <w:rsid w:val="00C8675C"/>
    <w:rsid w:val="00C87C31"/>
    <w:rsid w:val="00C9091E"/>
    <w:rsid w:val="00C93BB5"/>
    <w:rsid w:val="00C9570B"/>
    <w:rsid w:val="00C96378"/>
    <w:rsid w:val="00C96C0C"/>
    <w:rsid w:val="00C96D43"/>
    <w:rsid w:val="00C97C68"/>
    <w:rsid w:val="00CA054B"/>
    <w:rsid w:val="00CA19E6"/>
    <w:rsid w:val="00CA286D"/>
    <w:rsid w:val="00CA4AF7"/>
    <w:rsid w:val="00CA51A8"/>
    <w:rsid w:val="00CA596E"/>
    <w:rsid w:val="00CA6A44"/>
    <w:rsid w:val="00CA7460"/>
    <w:rsid w:val="00CA7B05"/>
    <w:rsid w:val="00CA7DC6"/>
    <w:rsid w:val="00CB01C7"/>
    <w:rsid w:val="00CB286B"/>
    <w:rsid w:val="00CB4616"/>
    <w:rsid w:val="00CB4E77"/>
    <w:rsid w:val="00CB6F79"/>
    <w:rsid w:val="00CC1285"/>
    <w:rsid w:val="00CC37E3"/>
    <w:rsid w:val="00CC39F4"/>
    <w:rsid w:val="00CC7C01"/>
    <w:rsid w:val="00CC7D08"/>
    <w:rsid w:val="00CD046B"/>
    <w:rsid w:val="00CD07BC"/>
    <w:rsid w:val="00CD18AC"/>
    <w:rsid w:val="00CD39F9"/>
    <w:rsid w:val="00CD493E"/>
    <w:rsid w:val="00CD62EB"/>
    <w:rsid w:val="00CD654E"/>
    <w:rsid w:val="00CD6AEE"/>
    <w:rsid w:val="00CD767C"/>
    <w:rsid w:val="00CD7A34"/>
    <w:rsid w:val="00CD7EC9"/>
    <w:rsid w:val="00CE04F1"/>
    <w:rsid w:val="00CE1C90"/>
    <w:rsid w:val="00CE3736"/>
    <w:rsid w:val="00CE52CC"/>
    <w:rsid w:val="00CF1896"/>
    <w:rsid w:val="00CF5F44"/>
    <w:rsid w:val="00CF61D0"/>
    <w:rsid w:val="00D01F9F"/>
    <w:rsid w:val="00D01FB5"/>
    <w:rsid w:val="00D02BF1"/>
    <w:rsid w:val="00D03AF9"/>
    <w:rsid w:val="00D04792"/>
    <w:rsid w:val="00D15AF5"/>
    <w:rsid w:val="00D16D29"/>
    <w:rsid w:val="00D20B21"/>
    <w:rsid w:val="00D23CA9"/>
    <w:rsid w:val="00D25B60"/>
    <w:rsid w:val="00D3164B"/>
    <w:rsid w:val="00D31CC0"/>
    <w:rsid w:val="00D34925"/>
    <w:rsid w:val="00D37AC2"/>
    <w:rsid w:val="00D41829"/>
    <w:rsid w:val="00D41E07"/>
    <w:rsid w:val="00D448D7"/>
    <w:rsid w:val="00D46054"/>
    <w:rsid w:val="00D503FD"/>
    <w:rsid w:val="00D510B4"/>
    <w:rsid w:val="00D551D0"/>
    <w:rsid w:val="00D57BEA"/>
    <w:rsid w:val="00D620FD"/>
    <w:rsid w:val="00D62469"/>
    <w:rsid w:val="00D664C7"/>
    <w:rsid w:val="00D76CC3"/>
    <w:rsid w:val="00D833D0"/>
    <w:rsid w:val="00D84375"/>
    <w:rsid w:val="00D849E8"/>
    <w:rsid w:val="00D91825"/>
    <w:rsid w:val="00D92520"/>
    <w:rsid w:val="00D96589"/>
    <w:rsid w:val="00D9740C"/>
    <w:rsid w:val="00DA0F05"/>
    <w:rsid w:val="00DA1769"/>
    <w:rsid w:val="00DA2A19"/>
    <w:rsid w:val="00DA6E5D"/>
    <w:rsid w:val="00DA6FC3"/>
    <w:rsid w:val="00DB095A"/>
    <w:rsid w:val="00DB095B"/>
    <w:rsid w:val="00DB4430"/>
    <w:rsid w:val="00DB47D6"/>
    <w:rsid w:val="00DB523F"/>
    <w:rsid w:val="00DB6F1E"/>
    <w:rsid w:val="00DC23F7"/>
    <w:rsid w:val="00DC4B7C"/>
    <w:rsid w:val="00DC5ACA"/>
    <w:rsid w:val="00DC66E2"/>
    <w:rsid w:val="00DC773A"/>
    <w:rsid w:val="00DD01BD"/>
    <w:rsid w:val="00DD03F6"/>
    <w:rsid w:val="00DD0D20"/>
    <w:rsid w:val="00DD7AE7"/>
    <w:rsid w:val="00DE0D67"/>
    <w:rsid w:val="00DE19AC"/>
    <w:rsid w:val="00DE23D7"/>
    <w:rsid w:val="00DE32A2"/>
    <w:rsid w:val="00DE4F1C"/>
    <w:rsid w:val="00DE5516"/>
    <w:rsid w:val="00DF070C"/>
    <w:rsid w:val="00DF0848"/>
    <w:rsid w:val="00DF09A5"/>
    <w:rsid w:val="00DF47AB"/>
    <w:rsid w:val="00DF4FDD"/>
    <w:rsid w:val="00DF634B"/>
    <w:rsid w:val="00E01A6C"/>
    <w:rsid w:val="00E02996"/>
    <w:rsid w:val="00E02ED4"/>
    <w:rsid w:val="00E03305"/>
    <w:rsid w:val="00E04167"/>
    <w:rsid w:val="00E046DC"/>
    <w:rsid w:val="00E051A7"/>
    <w:rsid w:val="00E07AC8"/>
    <w:rsid w:val="00E107F0"/>
    <w:rsid w:val="00E120B2"/>
    <w:rsid w:val="00E135D1"/>
    <w:rsid w:val="00E13EB1"/>
    <w:rsid w:val="00E14E39"/>
    <w:rsid w:val="00E152AE"/>
    <w:rsid w:val="00E16198"/>
    <w:rsid w:val="00E17136"/>
    <w:rsid w:val="00E21520"/>
    <w:rsid w:val="00E21C33"/>
    <w:rsid w:val="00E23FC7"/>
    <w:rsid w:val="00E30D0A"/>
    <w:rsid w:val="00E30E66"/>
    <w:rsid w:val="00E3285B"/>
    <w:rsid w:val="00E350F7"/>
    <w:rsid w:val="00E42BD5"/>
    <w:rsid w:val="00E4338B"/>
    <w:rsid w:val="00E45C37"/>
    <w:rsid w:val="00E45E23"/>
    <w:rsid w:val="00E46898"/>
    <w:rsid w:val="00E47729"/>
    <w:rsid w:val="00E50793"/>
    <w:rsid w:val="00E50D61"/>
    <w:rsid w:val="00E528A5"/>
    <w:rsid w:val="00E53780"/>
    <w:rsid w:val="00E5394B"/>
    <w:rsid w:val="00E53A40"/>
    <w:rsid w:val="00E62734"/>
    <w:rsid w:val="00E63F40"/>
    <w:rsid w:val="00E663B1"/>
    <w:rsid w:val="00E70402"/>
    <w:rsid w:val="00E70979"/>
    <w:rsid w:val="00E71B10"/>
    <w:rsid w:val="00E73E8F"/>
    <w:rsid w:val="00E75EAC"/>
    <w:rsid w:val="00E77A20"/>
    <w:rsid w:val="00E823F2"/>
    <w:rsid w:val="00E83E73"/>
    <w:rsid w:val="00E84B8A"/>
    <w:rsid w:val="00E85092"/>
    <w:rsid w:val="00E85DB7"/>
    <w:rsid w:val="00E94B34"/>
    <w:rsid w:val="00E94DD9"/>
    <w:rsid w:val="00E9618C"/>
    <w:rsid w:val="00E96D71"/>
    <w:rsid w:val="00E97EBF"/>
    <w:rsid w:val="00EA17EB"/>
    <w:rsid w:val="00EA22B8"/>
    <w:rsid w:val="00EA2F4E"/>
    <w:rsid w:val="00EA2FD0"/>
    <w:rsid w:val="00EA5FD3"/>
    <w:rsid w:val="00EA64A9"/>
    <w:rsid w:val="00EB2A86"/>
    <w:rsid w:val="00EB4438"/>
    <w:rsid w:val="00EB7F90"/>
    <w:rsid w:val="00EC319D"/>
    <w:rsid w:val="00EC37F0"/>
    <w:rsid w:val="00EC5524"/>
    <w:rsid w:val="00EC6838"/>
    <w:rsid w:val="00EC693A"/>
    <w:rsid w:val="00EC70D2"/>
    <w:rsid w:val="00EC744D"/>
    <w:rsid w:val="00EC7641"/>
    <w:rsid w:val="00ED5780"/>
    <w:rsid w:val="00ED67DD"/>
    <w:rsid w:val="00ED6D22"/>
    <w:rsid w:val="00ED718E"/>
    <w:rsid w:val="00ED7FBF"/>
    <w:rsid w:val="00EE0242"/>
    <w:rsid w:val="00EE0790"/>
    <w:rsid w:val="00EE15C3"/>
    <w:rsid w:val="00EE3D92"/>
    <w:rsid w:val="00EE567D"/>
    <w:rsid w:val="00EE7D85"/>
    <w:rsid w:val="00EF20C3"/>
    <w:rsid w:val="00EF31F6"/>
    <w:rsid w:val="00EF4754"/>
    <w:rsid w:val="00EF6C70"/>
    <w:rsid w:val="00EF7453"/>
    <w:rsid w:val="00EF7B25"/>
    <w:rsid w:val="00EF7E76"/>
    <w:rsid w:val="00F0067F"/>
    <w:rsid w:val="00F00CC2"/>
    <w:rsid w:val="00F02D01"/>
    <w:rsid w:val="00F03114"/>
    <w:rsid w:val="00F03959"/>
    <w:rsid w:val="00F03A11"/>
    <w:rsid w:val="00F03B3A"/>
    <w:rsid w:val="00F0718C"/>
    <w:rsid w:val="00F1052D"/>
    <w:rsid w:val="00F10BDE"/>
    <w:rsid w:val="00F116FD"/>
    <w:rsid w:val="00F13FC0"/>
    <w:rsid w:val="00F1474E"/>
    <w:rsid w:val="00F1564B"/>
    <w:rsid w:val="00F1605D"/>
    <w:rsid w:val="00F1684D"/>
    <w:rsid w:val="00F17AA6"/>
    <w:rsid w:val="00F20A3C"/>
    <w:rsid w:val="00F20D80"/>
    <w:rsid w:val="00F2191C"/>
    <w:rsid w:val="00F22A0B"/>
    <w:rsid w:val="00F22B7C"/>
    <w:rsid w:val="00F22BDA"/>
    <w:rsid w:val="00F2309F"/>
    <w:rsid w:val="00F239BE"/>
    <w:rsid w:val="00F241E4"/>
    <w:rsid w:val="00F24D09"/>
    <w:rsid w:val="00F27944"/>
    <w:rsid w:val="00F27EBD"/>
    <w:rsid w:val="00F302A8"/>
    <w:rsid w:val="00F307ED"/>
    <w:rsid w:val="00F3134A"/>
    <w:rsid w:val="00F31968"/>
    <w:rsid w:val="00F329E4"/>
    <w:rsid w:val="00F32B04"/>
    <w:rsid w:val="00F339DD"/>
    <w:rsid w:val="00F36790"/>
    <w:rsid w:val="00F378D5"/>
    <w:rsid w:val="00F42B15"/>
    <w:rsid w:val="00F45CB3"/>
    <w:rsid w:val="00F50244"/>
    <w:rsid w:val="00F520DD"/>
    <w:rsid w:val="00F5306C"/>
    <w:rsid w:val="00F53935"/>
    <w:rsid w:val="00F5487D"/>
    <w:rsid w:val="00F575C0"/>
    <w:rsid w:val="00F60440"/>
    <w:rsid w:val="00F60B22"/>
    <w:rsid w:val="00F60B65"/>
    <w:rsid w:val="00F60CA2"/>
    <w:rsid w:val="00F62D05"/>
    <w:rsid w:val="00F62D63"/>
    <w:rsid w:val="00F630B2"/>
    <w:rsid w:val="00F638A6"/>
    <w:rsid w:val="00F6639D"/>
    <w:rsid w:val="00F72F92"/>
    <w:rsid w:val="00F748AC"/>
    <w:rsid w:val="00F7589E"/>
    <w:rsid w:val="00F80C74"/>
    <w:rsid w:val="00F85A41"/>
    <w:rsid w:val="00F91343"/>
    <w:rsid w:val="00F91356"/>
    <w:rsid w:val="00F923CC"/>
    <w:rsid w:val="00F92423"/>
    <w:rsid w:val="00F9369B"/>
    <w:rsid w:val="00FA2282"/>
    <w:rsid w:val="00FA4489"/>
    <w:rsid w:val="00FA5C03"/>
    <w:rsid w:val="00FA5C14"/>
    <w:rsid w:val="00FA6333"/>
    <w:rsid w:val="00FB10C3"/>
    <w:rsid w:val="00FB2971"/>
    <w:rsid w:val="00FB682B"/>
    <w:rsid w:val="00FB696B"/>
    <w:rsid w:val="00FB75AC"/>
    <w:rsid w:val="00FC2E91"/>
    <w:rsid w:val="00FC4A3A"/>
    <w:rsid w:val="00FC68B8"/>
    <w:rsid w:val="00FC7E80"/>
    <w:rsid w:val="00FD0124"/>
    <w:rsid w:val="00FD5DA6"/>
    <w:rsid w:val="00FD7BDF"/>
    <w:rsid w:val="00FE18AC"/>
    <w:rsid w:val="00FE4E23"/>
    <w:rsid w:val="00FE52FB"/>
    <w:rsid w:val="00FE55AB"/>
    <w:rsid w:val="00FE69D9"/>
    <w:rsid w:val="00FF38C2"/>
    <w:rsid w:val="00FF499E"/>
    <w:rsid w:val="00FF5B5A"/>
    <w:rsid w:val="00FF5D19"/>
    <w:rsid w:val="00FF6484"/>
    <w:rsid w:val="00FF78C9"/>
    <w:rsid w:val="00FF7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pPr>
      <w:spacing w:before="120" w:after="120"/>
      <w:jc w:val="both"/>
    </w:pPr>
    <w:rPr>
      <w:sz w:val="24"/>
      <w:szCs w:val="24"/>
      <w:lang w:eastAsia="en-GB"/>
    </w:rPr>
  </w:style>
  <w:style w:type="paragraph" w:styleId="Cmsor1">
    <w:name w:val="heading 1"/>
    <w:basedOn w:val="Norml"/>
    <w:next w:val="Text1"/>
    <w:qFormat/>
    <w:pPr>
      <w:keepNext/>
      <w:numPr>
        <w:numId w:val="23"/>
      </w:numPr>
      <w:spacing w:before="360"/>
      <w:outlineLvl w:val="0"/>
    </w:pPr>
    <w:rPr>
      <w:b/>
      <w:bCs/>
      <w:smallCaps/>
      <w:szCs w:val="32"/>
    </w:rPr>
  </w:style>
  <w:style w:type="paragraph" w:styleId="Cmsor2">
    <w:name w:val="heading 2"/>
    <w:basedOn w:val="Norml"/>
    <w:next w:val="Text2"/>
    <w:qFormat/>
    <w:pPr>
      <w:keepNext/>
      <w:numPr>
        <w:ilvl w:val="1"/>
        <w:numId w:val="23"/>
      </w:numPr>
      <w:outlineLvl w:val="1"/>
    </w:pPr>
    <w:rPr>
      <w:b/>
      <w:bCs/>
      <w:iCs/>
      <w:szCs w:val="28"/>
    </w:rPr>
  </w:style>
  <w:style w:type="paragraph" w:styleId="Cmsor3">
    <w:name w:val="heading 3"/>
    <w:basedOn w:val="Norml"/>
    <w:next w:val="Text3"/>
    <w:qFormat/>
    <w:pPr>
      <w:keepNext/>
      <w:numPr>
        <w:ilvl w:val="2"/>
        <w:numId w:val="23"/>
      </w:numPr>
      <w:outlineLvl w:val="2"/>
    </w:pPr>
    <w:rPr>
      <w:bCs/>
      <w:i/>
      <w:szCs w:val="26"/>
    </w:rPr>
  </w:style>
  <w:style w:type="paragraph" w:styleId="Cmsor4">
    <w:name w:val="heading 4"/>
    <w:basedOn w:val="Norml"/>
    <w:next w:val="Text4"/>
    <w:qFormat/>
    <w:pPr>
      <w:keepNext/>
      <w:numPr>
        <w:ilvl w:val="3"/>
        <w:numId w:val="23"/>
      </w:numPr>
      <w:outlineLvl w:val="3"/>
    </w:pPr>
    <w:rPr>
      <w:bCs/>
      <w:szCs w:val="28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right" w:pos="9071"/>
      </w:tabs>
    </w:pPr>
  </w:style>
  <w:style w:type="paragraph" w:styleId="llb">
    <w:name w:val="footer"/>
    <w:basedOn w:val="Norml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paragraph" w:styleId="Lbjegyzetszveg">
    <w:name w:val="footnote text"/>
    <w:basedOn w:val="Norml"/>
    <w:semiHidden/>
    <w:pPr>
      <w:spacing w:before="0" w:after="0"/>
      <w:ind w:left="720" w:hanging="720"/>
    </w:pPr>
    <w:rPr>
      <w:sz w:val="20"/>
      <w:szCs w:val="20"/>
    </w:rPr>
  </w:style>
  <w:style w:type="paragraph" w:styleId="Felsorols">
    <w:name w:val="List Bullet"/>
    <w:basedOn w:val="Norml"/>
    <w:pPr>
      <w:numPr>
        <w:numId w:val="24"/>
      </w:numPr>
    </w:pPr>
  </w:style>
  <w:style w:type="paragraph" w:styleId="Felsorols2">
    <w:name w:val="List Bullet 2"/>
    <w:basedOn w:val="Norml"/>
    <w:pPr>
      <w:numPr>
        <w:numId w:val="25"/>
      </w:numPr>
    </w:pPr>
  </w:style>
  <w:style w:type="paragraph" w:styleId="Felsorols3">
    <w:name w:val="List Bullet 3"/>
    <w:basedOn w:val="Norml"/>
    <w:pPr>
      <w:numPr>
        <w:numId w:val="26"/>
      </w:numPr>
    </w:pPr>
  </w:style>
  <w:style w:type="paragraph" w:styleId="Felsorols4">
    <w:name w:val="List Bullet 4"/>
    <w:basedOn w:val="Norml"/>
    <w:pPr>
      <w:numPr>
        <w:numId w:val="27"/>
      </w:numPr>
    </w:pPr>
  </w:style>
  <w:style w:type="paragraph" w:styleId="Szmozottlista">
    <w:name w:val="List Number"/>
    <w:basedOn w:val="Norml"/>
    <w:pPr>
      <w:numPr>
        <w:numId w:val="32"/>
      </w:numPr>
    </w:pPr>
  </w:style>
  <w:style w:type="paragraph" w:styleId="Szmozottlista2">
    <w:name w:val="List Number 2"/>
    <w:basedOn w:val="Norml"/>
    <w:pPr>
      <w:numPr>
        <w:numId w:val="34"/>
      </w:numPr>
    </w:pPr>
  </w:style>
  <w:style w:type="paragraph" w:styleId="Szmozottlista3">
    <w:name w:val="List Number 3"/>
    <w:basedOn w:val="Norml"/>
    <w:pPr>
      <w:numPr>
        <w:numId w:val="35"/>
      </w:numPr>
    </w:pPr>
  </w:style>
  <w:style w:type="paragraph" w:styleId="Szmozottlista4">
    <w:name w:val="List Number 4"/>
    <w:basedOn w:val="Norml"/>
    <w:pPr>
      <w:numPr>
        <w:numId w:val="36"/>
      </w:numPr>
    </w:pPr>
  </w:style>
  <w:style w:type="paragraph" w:styleId="TJ1">
    <w:name w:val="toc 1"/>
    <w:basedOn w:val="Norml"/>
    <w:next w:val="Norml"/>
    <w:semiHidden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semiHidden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semiHidden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semiHidden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semiHidden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semiHidden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semiHidden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semiHidden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semiHidden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pPr>
      <w:tabs>
        <w:tab w:val="right" w:pos="14003"/>
      </w:tabs>
    </w:pPr>
  </w:style>
  <w:style w:type="paragraph" w:customStyle="1" w:styleId="FooterLandscape">
    <w:name w:val="FooterLandscape"/>
    <w:basedOn w:val="Norml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basedOn w:val="Bekezdsalapbettpusa"/>
    <w:semiHidden/>
    <w:rPr>
      <w:rFonts w:cs="Times New Roman"/>
      <w:vertAlign w:val="superscript"/>
    </w:rPr>
  </w:style>
  <w:style w:type="paragraph" w:customStyle="1" w:styleId="Text1">
    <w:name w:val="Text 1"/>
    <w:basedOn w:val="Norml"/>
    <w:pPr>
      <w:ind w:left="850"/>
    </w:pPr>
  </w:style>
  <w:style w:type="paragraph" w:customStyle="1" w:styleId="Text2">
    <w:name w:val="Text 2"/>
    <w:basedOn w:val="Norml"/>
    <w:pPr>
      <w:ind w:left="850"/>
    </w:pPr>
  </w:style>
  <w:style w:type="paragraph" w:customStyle="1" w:styleId="Text3">
    <w:name w:val="Text 3"/>
    <w:basedOn w:val="Norml"/>
    <w:pPr>
      <w:ind w:left="850"/>
    </w:pPr>
  </w:style>
  <w:style w:type="paragraph" w:customStyle="1" w:styleId="Text4">
    <w:name w:val="Text 4"/>
    <w:basedOn w:val="Norml"/>
    <w:pPr>
      <w:ind w:left="850"/>
    </w:pPr>
  </w:style>
  <w:style w:type="paragraph" w:customStyle="1" w:styleId="NormalCentered">
    <w:name w:val="Normal Centered"/>
    <w:basedOn w:val="Norml"/>
    <w:pPr>
      <w:jc w:val="center"/>
    </w:pPr>
  </w:style>
  <w:style w:type="paragraph" w:customStyle="1" w:styleId="NormalLeft">
    <w:name w:val="Normal Left"/>
    <w:basedOn w:val="Norml"/>
    <w:pPr>
      <w:jc w:val="left"/>
    </w:pPr>
  </w:style>
  <w:style w:type="paragraph" w:customStyle="1" w:styleId="NormalRight">
    <w:name w:val="Normal Right"/>
    <w:basedOn w:val="Norml"/>
    <w:pPr>
      <w:jc w:val="right"/>
    </w:pPr>
  </w:style>
  <w:style w:type="paragraph" w:customStyle="1" w:styleId="QuotedText">
    <w:name w:val="Quoted Text"/>
    <w:basedOn w:val="Norml"/>
    <w:pPr>
      <w:ind w:left="1417"/>
    </w:pPr>
  </w:style>
  <w:style w:type="paragraph" w:customStyle="1" w:styleId="Point0">
    <w:name w:val="Point 0"/>
    <w:basedOn w:val="Norml"/>
    <w:pPr>
      <w:ind w:left="850" w:hanging="850"/>
    </w:pPr>
  </w:style>
  <w:style w:type="paragraph" w:customStyle="1" w:styleId="Point1">
    <w:name w:val="Point 1"/>
    <w:basedOn w:val="Norml"/>
    <w:pPr>
      <w:ind w:left="1417" w:hanging="567"/>
    </w:pPr>
  </w:style>
  <w:style w:type="paragraph" w:customStyle="1" w:styleId="Point2">
    <w:name w:val="Point 2"/>
    <w:basedOn w:val="Norml"/>
    <w:pPr>
      <w:ind w:left="1984" w:hanging="567"/>
    </w:pPr>
  </w:style>
  <w:style w:type="paragraph" w:customStyle="1" w:styleId="Point3">
    <w:name w:val="Point 3"/>
    <w:basedOn w:val="Norml"/>
    <w:pPr>
      <w:ind w:left="2551" w:hanging="567"/>
    </w:pPr>
  </w:style>
  <w:style w:type="paragraph" w:customStyle="1" w:styleId="Point4">
    <w:name w:val="Point 4"/>
    <w:basedOn w:val="Norml"/>
    <w:pPr>
      <w:ind w:left="3118" w:hanging="567"/>
    </w:pPr>
  </w:style>
  <w:style w:type="paragraph" w:customStyle="1" w:styleId="Tiret0">
    <w:name w:val="Tiret 0"/>
    <w:basedOn w:val="Point0"/>
    <w:pPr>
      <w:numPr>
        <w:numId w:val="17"/>
      </w:numPr>
    </w:pPr>
  </w:style>
  <w:style w:type="paragraph" w:customStyle="1" w:styleId="Tiret1">
    <w:name w:val="Tiret 1"/>
    <w:basedOn w:val="Point1"/>
    <w:pPr>
      <w:numPr>
        <w:numId w:val="18"/>
      </w:numPr>
    </w:pPr>
  </w:style>
  <w:style w:type="paragraph" w:customStyle="1" w:styleId="Tiret2">
    <w:name w:val="Tiret 2"/>
    <w:basedOn w:val="Point2"/>
    <w:pPr>
      <w:numPr>
        <w:numId w:val="19"/>
      </w:numPr>
    </w:pPr>
  </w:style>
  <w:style w:type="paragraph" w:customStyle="1" w:styleId="Tiret3">
    <w:name w:val="Tiret 3"/>
    <w:basedOn w:val="Point3"/>
    <w:pPr>
      <w:numPr>
        <w:numId w:val="20"/>
      </w:numPr>
    </w:pPr>
  </w:style>
  <w:style w:type="paragraph" w:customStyle="1" w:styleId="Tiret4">
    <w:name w:val="Tiret 4"/>
    <w:basedOn w:val="Point4"/>
    <w:pPr>
      <w:numPr>
        <w:numId w:val="21"/>
      </w:numPr>
    </w:pPr>
  </w:style>
  <w:style w:type="paragraph" w:customStyle="1" w:styleId="PointDouble0">
    <w:name w:val="PointDouble 0"/>
    <w:basedOn w:val="Norml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pPr>
      <w:numPr>
        <w:numId w:val="22"/>
      </w:numPr>
    </w:pPr>
  </w:style>
  <w:style w:type="paragraph" w:customStyle="1" w:styleId="NumPar2">
    <w:name w:val="NumPar 2"/>
    <w:basedOn w:val="Norml"/>
    <w:next w:val="Text2"/>
    <w:pPr>
      <w:numPr>
        <w:ilvl w:val="1"/>
        <w:numId w:val="22"/>
      </w:numPr>
    </w:pPr>
  </w:style>
  <w:style w:type="paragraph" w:customStyle="1" w:styleId="NumPar3">
    <w:name w:val="NumPar 3"/>
    <w:basedOn w:val="Norml"/>
    <w:next w:val="Text3"/>
    <w:pPr>
      <w:numPr>
        <w:ilvl w:val="2"/>
        <w:numId w:val="22"/>
      </w:numPr>
    </w:pPr>
  </w:style>
  <w:style w:type="paragraph" w:customStyle="1" w:styleId="NumPar4">
    <w:name w:val="NumPar 4"/>
    <w:basedOn w:val="Norml"/>
    <w:next w:val="Text4"/>
    <w:pPr>
      <w:numPr>
        <w:ilvl w:val="3"/>
        <w:numId w:val="22"/>
      </w:numPr>
    </w:pPr>
  </w:style>
  <w:style w:type="paragraph" w:customStyle="1" w:styleId="ManualNumPar1">
    <w:name w:val="Manual NumPar 1"/>
    <w:basedOn w:val="Norml"/>
    <w:next w:val="Text1"/>
    <w:pPr>
      <w:ind w:left="850" w:hanging="850"/>
    </w:pPr>
  </w:style>
  <w:style w:type="paragraph" w:customStyle="1" w:styleId="ManualNumPar2">
    <w:name w:val="Manual NumPar 2"/>
    <w:basedOn w:val="Norml"/>
    <w:next w:val="Text2"/>
    <w:pPr>
      <w:ind w:left="850" w:hanging="850"/>
    </w:pPr>
  </w:style>
  <w:style w:type="paragraph" w:customStyle="1" w:styleId="ManualNumPar3">
    <w:name w:val="Manual NumPar 3"/>
    <w:basedOn w:val="Norml"/>
    <w:next w:val="Text3"/>
    <w:pPr>
      <w:ind w:left="850" w:hanging="850"/>
    </w:pPr>
  </w:style>
  <w:style w:type="paragraph" w:customStyle="1" w:styleId="ManualNumPar4">
    <w:name w:val="Manual NumPar 4"/>
    <w:basedOn w:val="Norml"/>
    <w:next w:val="Text4"/>
    <w:pPr>
      <w:ind w:left="850" w:hanging="850"/>
    </w:pPr>
  </w:style>
  <w:style w:type="paragraph" w:customStyle="1" w:styleId="QuotedNumPar">
    <w:name w:val="Quoted NumPar"/>
    <w:basedOn w:val="Norml"/>
    <w:pPr>
      <w:ind w:left="1417" w:hanging="567"/>
    </w:pPr>
  </w:style>
  <w:style w:type="paragraph" w:customStyle="1" w:styleId="ManualHeading1">
    <w:name w:val="Manual Heading 1"/>
    <w:basedOn w:val="Norml"/>
    <w:next w:val="Text1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2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3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4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pPr>
      <w:keepNext/>
      <w:spacing w:after="360"/>
      <w:jc w:val="center"/>
    </w:pPr>
    <w:rPr>
      <w:b/>
      <w:smallCaps/>
      <w:sz w:val="28"/>
    </w:rPr>
  </w:style>
  <w:style w:type="paragraph" w:customStyle="1" w:styleId="ListBullet1">
    <w:name w:val="List Bullet 1"/>
    <w:basedOn w:val="Norml"/>
    <w:pPr>
      <w:numPr>
        <w:numId w:val="39"/>
      </w:numPr>
    </w:pPr>
  </w:style>
  <w:style w:type="paragraph" w:customStyle="1" w:styleId="ListDash">
    <w:name w:val="List Dash"/>
    <w:basedOn w:val="Norml"/>
    <w:pPr>
      <w:numPr>
        <w:numId w:val="40"/>
      </w:numPr>
    </w:pPr>
  </w:style>
  <w:style w:type="paragraph" w:customStyle="1" w:styleId="ListDash1">
    <w:name w:val="List Dash 1"/>
    <w:basedOn w:val="Norml"/>
    <w:pPr>
      <w:numPr>
        <w:numId w:val="28"/>
      </w:numPr>
    </w:pPr>
  </w:style>
  <w:style w:type="paragraph" w:customStyle="1" w:styleId="ListDash2">
    <w:name w:val="List Dash 2"/>
    <w:basedOn w:val="Norml"/>
    <w:pPr>
      <w:numPr>
        <w:numId w:val="29"/>
      </w:numPr>
    </w:pPr>
  </w:style>
  <w:style w:type="paragraph" w:customStyle="1" w:styleId="ListDash3">
    <w:name w:val="List Dash 3"/>
    <w:basedOn w:val="Norml"/>
    <w:pPr>
      <w:numPr>
        <w:numId w:val="30"/>
      </w:numPr>
    </w:pPr>
  </w:style>
  <w:style w:type="paragraph" w:customStyle="1" w:styleId="ListDash4">
    <w:name w:val="List Dash 4"/>
    <w:basedOn w:val="Norml"/>
    <w:pPr>
      <w:numPr>
        <w:numId w:val="31"/>
      </w:numPr>
    </w:pPr>
  </w:style>
  <w:style w:type="paragraph" w:customStyle="1" w:styleId="ListNumber1">
    <w:name w:val="List Number 1"/>
    <w:basedOn w:val="Text1"/>
    <w:pPr>
      <w:numPr>
        <w:numId w:val="33"/>
      </w:numPr>
    </w:pPr>
  </w:style>
  <w:style w:type="paragraph" w:customStyle="1" w:styleId="ListNumberLevel2">
    <w:name w:val="List Number (Level 2)"/>
    <w:basedOn w:val="Norml"/>
    <w:pPr>
      <w:numPr>
        <w:ilvl w:val="1"/>
        <w:numId w:val="32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33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34"/>
      </w:numPr>
    </w:pPr>
  </w:style>
  <w:style w:type="paragraph" w:customStyle="1" w:styleId="ListNumber3Level2">
    <w:name w:val="List Number 3 (Level 2)"/>
    <w:basedOn w:val="Text3"/>
    <w:pPr>
      <w:numPr>
        <w:ilvl w:val="1"/>
        <w:numId w:val="35"/>
      </w:numPr>
    </w:pPr>
  </w:style>
  <w:style w:type="paragraph" w:customStyle="1" w:styleId="ListNumber4Level2">
    <w:name w:val="List Number 4 (Level 2)"/>
    <w:basedOn w:val="Text4"/>
    <w:pPr>
      <w:numPr>
        <w:ilvl w:val="1"/>
        <w:numId w:val="36"/>
      </w:numPr>
    </w:pPr>
  </w:style>
  <w:style w:type="paragraph" w:customStyle="1" w:styleId="ListNumberLevel3">
    <w:name w:val="List Number (Level 3)"/>
    <w:basedOn w:val="Norml"/>
    <w:pPr>
      <w:numPr>
        <w:ilvl w:val="2"/>
        <w:numId w:val="32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33"/>
      </w:numPr>
    </w:pPr>
  </w:style>
  <w:style w:type="paragraph" w:customStyle="1" w:styleId="ListNumber2Level3">
    <w:name w:val="List Number 2 (Level 3)"/>
    <w:basedOn w:val="Text2"/>
    <w:pPr>
      <w:numPr>
        <w:ilvl w:val="2"/>
        <w:numId w:val="34"/>
      </w:numPr>
    </w:pPr>
  </w:style>
  <w:style w:type="paragraph" w:customStyle="1" w:styleId="ListNumber3Level3">
    <w:name w:val="List Number 3 (Level 3)"/>
    <w:basedOn w:val="Text3"/>
    <w:pPr>
      <w:numPr>
        <w:ilvl w:val="2"/>
        <w:numId w:val="35"/>
      </w:numPr>
    </w:pPr>
  </w:style>
  <w:style w:type="paragraph" w:customStyle="1" w:styleId="ListNumber4Level3">
    <w:name w:val="List Number 4 (Level 3)"/>
    <w:basedOn w:val="Text4"/>
    <w:pPr>
      <w:numPr>
        <w:ilvl w:val="2"/>
        <w:numId w:val="36"/>
      </w:numPr>
    </w:pPr>
  </w:style>
  <w:style w:type="paragraph" w:customStyle="1" w:styleId="ListNumberLevel4">
    <w:name w:val="List Number (Level 4)"/>
    <w:basedOn w:val="Norml"/>
    <w:pPr>
      <w:numPr>
        <w:ilvl w:val="3"/>
        <w:numId w:val="32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33"/>
      </w:numPr>
    </w:pPr>
  </w:style>
  <w:style w:type="paragraph" w:customStyle="1" w:styleId="ListNumber2Level4">
    <w:name w:val="List Number 2 (Level 4)"/>
    <w:basedOn w:val="Text2"/>
    <w:pPr>
      <w:numPr>
        <w:ilvl w:val="3"/>
        <w:numId w:val="34"/>
      </w:numPr>
    </w:pPr>
  </w:style>
  <w:style w:type="paragraph" w:customStyle="1" w:styleId="ListNumber3Level4">
    <w:name w:val="List Number 3 (Level 4)"/>
    <w:basedOn w:val="Text3"/>
    <w:pPr>
      <w:numPr>
        <w:ilvl w:val="3"/>
        <w:numId w:val="35"/>
      </w:numPr>
    </w:pPr>
  </w:style>
  <w:style w:type="paragraph" w:customStyle="1" w:styleId="ListNumber4Level4">
    <w:name w:val="List Number 4 (Level 4)"/>
    <w:basedOn w:val="Text4"/>
    <w:pPr>
      <w:numPr>
        <w:ilvl w:val="3"/>
        <w:numId w:val="36"/>
      </w:numPr>
    </w:pPr>
  </w:style>
  <w:style w:type="paragraph" w:customStyle="1" w:styleId="TableTitle">
    <w:name w:val="Table Title"/>
    <w:basedOn w:val="Norml"/>
    <w:next w:val="Norml"/>
    <w:pPr>
      <w:jc w:val="center"/>
    </w:pPr>
    <w:rPr>
      <w:b/>
    </w:rPr>
  </w:style>
  <w:style w:type="character" w:customStyle="1" w:styleId="Marker">
    <w:name w:val="Marker"/>
    <w:basedOn w:val="Bekezdsalapbettpusa"/>
    <w:rPr>
      <w:rFonts w:cs="Times New Roman"/>
      <w:color w:val="0000FF"/>
    </w:rPr>
  </w:style>
  <w:style w:type="character" w:customStyle="1" w:styleId="Marker1">
    <w:name w:val="Marker1"/>
    <w:basedOn w:val="Bekezdsalapbettpusa"/>
    <w:rPr>
      <w:rFonts w:cs="Times New Roman"/>
      <w:color w:val="008000"/>
    </w:rPr>
  </w:style>
  <w:style w:type="character" w:customStyle="1" w:styleId="Marker2">
    <w:name w:val="Marker2"/>
    <w:basedOn w:val="Bekezdsalapbettpusa"/>
    <w:rPr>
      <w:rFonts w:cs="Times New Roman"/>
      <w:color w:val="FF0000"/>
    </w:rPr>
  </w:style>
  <w:style w:type="paragraph" w:customStyle="1" w:styleId="TOCHeading">
    <w:name w:val="TOC Heading"/>
    <w:basedOn w:val="Norml"/>
    <w:next w:val="Norml"/>
    <w:pPr>
      <w:spacing w:after="240"/>
      <w:jc w:val="center"/>
    </w:pPr>
    <w:rPr>
      <w:b/>
      <w:sz w:val="28"/>
    </w:rPr>
  </w:style>
  <w:style w:type="paragraph" w:customStyle="1" w:styleId="Annexetitreacte">
    <w:name w:val="Annexe titre (acte)"/>
    <w:basedOn w:val="Norml"/>
    <w:next w:val="Norml"/>
    <w:pPr>
      <w:jc w:val="center"/>
    </w:pPr>
    <w:rPr>
      <w:b/>
      <w:u w:val="single"/>
    </w:rPr>
  </w:style>
  <w:style w:type="paragraph" w:customStyle="1" w:styleId="Annexetitreexposglobal">
    <w:name w:val="Annexe titre (exposé global)"/>
    <w:basedOn w:val="Norml"/>
    <w:next w:val="Norml"/>
    <w:pPr>
      <w:jc w:val="center"/>
    </w:pPr>
    <w:rPr>
      <w:b/>
      <w:u w:val="single"/>
    </w:rPr>
  </w:style>
  <w:style w:type="paragraph" w:customStyle="1" w:styleId="Annexetitreexpos">
    <w:name w:val="Annexe titre (exposé)"/>
    <w:basedOn w:val="Norml"/>
    <w:next w:val="Norml"/>
    <w:pPr>
      <w:jc w:val="center"/>
    </w:pPr>
    <w:rPr>
      <w:b/>
      <w:u w:val="single"/>
    </w:rPr>
  </w:style>
  <w:style w:type="paragraph" w:customStyle="1" w:styleId="Annexetitrefichefinacte">
    <w:name w:val="Annexe titre (fiche fin. acte)"/>
    <w:basedOn w:val="Norml"/>
    <w:next w:val="Norml"/>
    <w:pPr>
      <w:jc w:val="center"/>
    </w:pPr>
    <w:rPr>
      <w:b/>
      <w:u w:val="single"/>
    </w:rPr>
  </w:style>
  <w:style w:type="paragraph" w:customStyle="1" w:styleId="Annexetitrefichefinglobale">
    <w:name w:val="Annexe titre (fiche fin. globale)"/>
    <w:basedOn w:val="Norml"/>
    <w:next w:val="Norml"/>
    <w:pPr>
      <w:jc w:val="center"/>
    </w:pPr>
    <w:rPr>
      <w:b/>
      <w:u w:val="single"/>
    </w:rPr>
  </w:style>
  <w:style w:type="paragraph" w:customStyle="1" w:styleId="Annexetitreglobale">
    <w:name w:val="Annexe titre (globale)"/>
    <w:basedOn w:val="Norml"/>
    <w:next w:val="Norml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pPr>
      <w:spacing w:before="480"/>
    </w:pPr>
  </w:style>
  <w:style w:type="paragraph" w:customStyle="1" w:styleId="Avertissementtitre">
    <w:name w:val="Avertissement titre"/>
    <w:basedOn w:val="Norml"/>
    <w:next w:val="Norml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pPr>
      <w:spacing w:before="360"/>
      <w:jc w:val="center"/>
    </w:pPr>
  </w:style>
  <w:style w:type="paragraph" w:customStyle="1" w:styleId="Confidentialit">
    <w:name w:val="Confidentialité"/>
    <w:basedOn w:val="Norml"/>
    <w:next w:val="Statut"/>
    <w:pPr>
      <w:spacing w:before="240" w:after="240"/>
      <w:ind w:left="5103"/>
    </w:pPr>
    <w:rPr>
      <w:u w:val="single"/>
    </w:rPr>
  </w:style>
  <w:style w:type="paragraph" w:customStyle="1" w:styleId="Considrant">
    <w:name w:val="Considérant"/>
    <w:basedOn w:val="Norml"/>
    <w:pPr>
      <w:numPr>
        <w:numId w:val="37"/>
      </w:numPr>
    </w:pPr>
  </w:style>
  <w:style w:type="paragraph" w:customStyle="1" w:styleId="Corrigendum">
    <w:name w:val="Corrigendum"/>
    <w:basedOn w:val="Norml"/>
    <w:next w:val="Norml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elle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pPr>
      <w:jc w:val="center"/>
    </w:pPr>
    <w:rPr>
      <w:b/>
      <w:u w:val="single"/>
    </w:rPr>
  </w:style>
  <w:style w:type="paragraph" w:customStyle="1" w:styleId="Exposdesmotifstitreglobal">
    <w:name w:val="Exposé des motifs titre (global)"/>
    <w:basedOn w:val="Norml"/>
    <w:next w:val="Norml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pPr>
      <w:keepNext/>
    </w:pPr>
  </w:style>
  <w:style w:type="paragraph" w:customStyle="1" w:styleId="Institutionquiagit">
    <w:name w:val="Institution qui agit"/>
    <w:basedOn w:val="Norml"/>
    <w:next w:val="Norml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pPr>
      <w:spacing w:before="0" w:after="600"/>
      <w:jc w:val="center"/>
    </w:pPr>
    <w:rPr>
      <w:b/>
      <w:caps/>
    </w:rPr>
  </w:style>
  <w:style w:type="paragraph" w:customStyle="1" w:styleId="Langueoriginale">
    <w:name w:val="Langue originale"/>
    <w:basedOn w:val="Norml"/>
    <w:next w:val="Phrasefinale"/>
    <w:pPr>
      <w:spacing w:before="360"/>
      <w:jc w:val="center"/>
    </w:pPr>
    <w:rPr>
      <w:caps/>
    </w:rPr>
  </w:style>
  <w:style w:type="paragraph" w:customStyle="1" w:styleId="ManualConsidrant">
    <w:name w:val="Manual Considérant"/>
    <w:basedOn w:val="Norml"/>
    <w:pPr>
      <w:ind w:left="709" w:hanging="709"/>
    </w:pPr>
  </w:style>
  <w:style w:type="paragraph" w:customStyle="1" w:styleId="Nomdelinstitution">
    <w:name w:val="Nom de l'institution"/>
    <w:basedOn w:val="Norml"/>
    <w:next w:val="Emission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Phrasefinale">
    <w:name w:val="Phrase finale"/>
    <w:basedOn w:val="Norml"/>
    <w:next w:val="Norml"/>
    <w:pPr>
      <w:spacing w:before="360" w:after="0"/>
      <w:jc w:val="center"/>
    </w:pPr>
  </w:style>
  <w:style w:type="paragraph" w:customStyle="1" w:styleId="Prliminairetitre">
    <w:name w:val="Préliminaire titre"/>
    <w:basedOn w:val="Norml"/>
    <w:next w:val="Norml"/>
    <w:pPr>
      <w:spacing w:before="360" w:after="360"/>
      <w:jc w:val="center"/>
    </w:pPr>
    <w:rPr>
      <w:b/>
    </w:rPr>
  </w:style>
  <w:style w:type="paragraph" w:customStyle="1" w:styleId="Prliminairetype">
    <w:name w:val="Préliminaire type"/>
    <w:basedOn w:val="Norml"/>
    <w:next w:val="Norml"/>
    <w:pPr>
      <w:spacing w:before="360" w:after="0"/>
      <w:jc w:val="center"/>
    </w:pPr>
    <w:rPr>
      <w:b/>
    </w:rPr>
  </w:style>
  <w:style w:type="paragraph" w:customStyle="1" w:styleId="Rfrenceinstitutionelle">
    <w:name w:val="Référence institutionelle"/>
    <w:basedOn w:val="Norml"/>
    <w:next w:val="Statut"/>
    <w:pPr>
      <w:spacing w:before="0" w:after="240"/>
      <w:ind w:left="5103"/>
      <w:jc w:val="left"/>
    </w:pPr>
  </w:style>
  <w:style w:type="paragraph" w:customStyle="1" w:styleId="Rfrenceinterinstitutionelle">
    <w:name w:val="Référence interinstitutionelle"/>
    <w:basedOn w:val="Norml"/>
    <w:next w:val="Statut"/>
    <w:pPr>
      <w:spacing w:before="0" w:after="0"/>
      <w:ind w:left="5103"/>
      <w:jc w:val="left"/>
    </w:pPr>
  </w:style>
  <w:style w:type="paragraph" w:customStyle="1" w:styleId="Rfrenceinterinstitutionelleprliminaire">
    <w:name w:val="Référence interinstitutionelle (préliminaire)"/>
    <w:basedOn w:val="Norml"/>
    <w:next w:val="Norml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Nomdelinstitution"/>
    <w:pPr>
      <w:spacing w:before="0" w:after="600"/>
      <w:jc w:val="center"/>
    </w:pPr>
    <w:rPr>
      <w:b/>
    </w:rPr>
  </w:style>
  <w:style w:type="paragraph" w:customStyle="1" w:styleId="Sous-titreobjet">
    <w:name w:val="Sous-titre objet"/>
    <w:basedOn w:val="Norml"/>
    <w:pPr>
      <w:spacing w:before="0" w:after="0"/>
      <w:jc w:val="center"/>
    </w:pPr>
    <w:rPr>
      <w:b/>
    </w:rPr>
  </w:style>
  <w:style w:type="paragraph" w:customStyle="1" w:styleId="Sous-titreobjetprliminaire">
    <w:name w:val="Sous-titre objet (préliminaire)"/>
    <w:basedOn w:val="Norml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pPr>
      <w:spacing w:before="360" w:after="0"/>
      <w:jc w:val="center"/>
    </w:pPr>
  </w:style>
  <w:style w:type="paragraph" w:customStyle="1" w:styleId="Statutprliminaire">
    <w:name w:val="Statut (préliminaire)"/>
    <w:basedOn w:val="Norml"/>
    <w:next w:val="Norml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pPr>
      <w:spacing w:before="360" w:after="360"/>
      <w:jc w:val="center"/>
    </w:pPr>
    <w:rPr>
      <w:b/>
    </w:rPr>
  </w:style>
  <w:style w:type="paragraph" w:customStyle="1" w:styleId="Titreobjetprliminaire">
    <w:name w:val="Titre objet (préliminaire)"/>
    <w:basedOn w:val="Norml"/>
    <w:next w:val="Norml"/>
    <w:pPr>
      <w:spacing w:before="360" w:after="360"/>
      <w:jc w:val="center"/>
    </w:pPr>
    <w:rPr>
      <w:b/>
    </w:rPr>
  </w:style>
  <w:style w:type="paragraph" w:customStyle="1" w:styleId="Typedudocument">
    <w:name w:val="Type du document"/>
    <w:basedOn w:val="Norml"/>
    <w:next w:val="Datedadoption"/>
    <w:pPr>
      <w:spacing w:before="360" w:after="0"/>
      <w:jc w:val="center"/>
    </w:pPr>
    <w:rPr>
      <w:b/>
    </w:rPr>
  </w:style>
  <w:style w:type="paragraph" w:customStyle="1" w:styleId="Typedudocumentprliminaire">
    <w:name w:val="Type du document (préliminaire)"/>
    <w:basedOn w:val="Norml"/>
    <w:next w:val="Norml"/>
    <w:pPr>
      <w:spacing w:before="360" w:after="0"/>
      <w:jc w:val="center"/>
    </w:pPr>
    <w:rPr>
      <w:b/>
    </w:rPr>
  </w:style>
  <w:style w:type="character" w:customStyle="1" w:styleId="Added">
    <w:name w:val="Added"/>
    <w:basedOn w:val="Bekezdsalapbettpusa"/>
    <w:rPr>
      <w:rFonts w:cs="Times New Roman"/>
      <w:b/>
      <w:u w:val="single"/>
    </w:rPr>
  </w:style>
  <w:style w:type="character" w:customStyle="1" w:styleId="Deleted">
    <w:name w:val="Deleted"/>
    <w:basedOn w:val="Bekezdsalapbettpusa"/>
    <w:rPr>
      <w:rFonts w:cs="Times New Roman"/>
      <w:strike/>
    </w:rPr>
  </w:style>
  <w:style w:type="paragraph" w:customStyle="1" w:styleId="Address">
    <w:name w:val="Address"/>
    <w:basedOn w:val="Norml"/>
    <w:next w:val="Norml"/>
    <w:pPr>
      <w:keepLines/>
      <w:spacing w:line="360" w:lineRule="auto"/>
      <w:ind w:left="3402"/>
      <w:jc w:val="left"/>
    </w:pPr>
  </w:style>
  <w:style w:type="paragraph" w:customStyle="1" w:styleId="Fichefinancirestandardtitre">
    <w:name w:val="Fiche financière (standard) titre"/>
    <w:basedOn w:val="Norml"/>
    <w:next w:val="Norml"/>
    <w:pPr>
      <w:jc w:val="center"/>
    </w:pPr>
    <w:rPr>
      <w:b/>
      <w:u w:val="single"/>
    </w:rPr>
  </w:style>
  <w:style w:type="paragraph" w:customStyle="1" w:styleId="Fichefinancirestandardtitreacte">
    <w:name w:val="Fiche financière (standard) titre (acte)"/>
    <w:basedOn w:val="Norml"/>
    <w:next w:val="Norml"/>
    <w:pPr>
      <w:jc w:val="center"/>
    </w:pPr>
    <w:rPr>
      <w:b/>
      <w:u w:val="single"/>
    </w:rPr>
  </w:style>
  <w:style w:type="paragraph" w:customStyle="1" w:styleId="Fichefinanciretravailtitre">
    <w:name w:val="Fiche financière (travail) titre"/>
    <w:basedOn w:val="Norml"/>
    <w:next w:val="Norml"/>
    <w:pPr>
      <w:jc w:val="center"/>
    </w:pPr>
    <w:rPr>
      <w:b/>
      <w:u w:val="single"/>
    </w:rPr>
  </w:style>
  <w:style w:type="paragraph" w:customStyle="1" w:styleId="Fichefinanciretravailtitreacte">
    <w:name w:val="Fiche financière (travail) titre (acte)"/>
    <w:basedOn w:val="Norml"/>
    <w:next w:val="Norml"/>
    <w:pPr>
      <w:jc w:val="center"/>
    </w:pPr>
    <w:rPr>
      <w:b/>
      <w:u w:val="single"/>
    </w:rPr>
  </w:style>
  <w:style w:type="paragraph" w:customStyle="1" w:styleId="Fichefinancireattributiontitre">
    <w:name w:val="Fiche financière (attribution) titre"/>
    <w:basedOn w:val="Norml"/>
    <w:next w:val="Norml"/>
    <w:pPr>
      <w:jc w:val="center"/>
    </w:pPr>
    <w:rPr>
      <w:b/>
      <w:u w:val="single"/>
    </w:rPr>
  </w:style>
  <w:style w:type="paragraph" w:customStyle="1" w:styleId="Fichefinancireattributiontitreacte">
    <w:name w:val="Fiche financière (attribution) titre (acte)"/>
    <w:basedOn w:val="Norml"/>
    <w:next w:val="Norml"/>
    <w:pPr>
      <w:jc w:val="center"/>
    </w:pPr>
    <w:rPr>
      <w:b/>
      <w:u w:val="single"/>
    </w:rPr>
  </w:style>
  <w:style w:type="paragraph" w:customStyle="1" w:styleId="Objetexterne">
    <w:name w:val="Objet externe"/>
    <w:basedOn w:val="Norml"/>
    <w:next w:val="Norml"/>
    <w:rPr>
      <w:i/>
      <w:caps/>
    </w:rPr>
  </w:style>
  <w:style w:type="table" w:styleId="Rcsostblzat">
    <w:name w:val="Table Grid"/>
    <w:basedOn w:val="Normltblzat"/>
    <w:pPr>
      <w:spacing w:before="120" w:after="120"/>
      <w:jc w:val="both"/>
    </w:pPr>
    <w:rPr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semiHidden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semiHidden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Pr>
      <w:sz w:val="20"/>
      <w:szCs w:val="20"/>
    </w:rPr>
  </w:style>
  <w:style w:type="paragraph" w:styleId="Megjegyzstrgya">
    <w:name w:val="annotation subject"/>
    <w:basedOn w:val="Jegyzetszveg"/>
    <w:next w:val="Jegyzetszveg"/>
    <w:semiHidden/>
    <w:rPr>
      <w:b/>
      <w:bCs/>
    </w:rPr>
  </w:style>
  <w:style w:type="character" w:styleId="Hiperhivatkozs">
    <w:name w:val="Hyperlink"/>
    <w:basedOn w:val="Bekezdsalapbettpusa"/>
    <w:rPr>
      <w:rFonts w:cs="Times New Roman"/>
      <w:color w:val="0000FF"/>
      <w:u w:val="single"/>
    </w:rPr>
  </w:style>
  <w:style w:type="paragraph" w:styleId="Dokumentumtrkp">
    <w:name w:val="Document Map"/>
    <w:basedOn w:val="Norml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Kiemels2">
    <w:name w:val="Strong"/>
    <w:basedOn w:val="Bekezdsalapbettpusa"/>
    <w:qFormat/>
    <w:rPr>
      <w:rFonts w:cs="Times New Roman"/>
      <w:b/>
      <w:bCs/>
    </w:rPr>
  </w:style>
  <w:style w:type="paragraph" w:customStyle="1" w:styleId="Clearformatting">
    <w:name w:val="Clear formatting"/>
    <w:basedOn w:val="ManualHeading1"/>
  </w:style>
  <w:style w:type="character" w:styleId="Mrltotthiperhivatkozs">
    <w:name w:val="FollowedHyperlink"/>
    <w:basedOn w:val="Bekezdsalapbettpusa"/>
    <w:rPr>
      <w:rFonts w:cs="Times New Roman"/>
      <w:color w:val="606420"/>
      <w:u w:val="single"/>
    </w:rPr>
  </w:style>
  <w:style w:type="numbering" w:styleId="111111">
    <w:name w:val="Outline List 2"/>
    <w:basedOn w:val="Nemlista"/>
    <w:pPr>
      <w:numPr>
        <w:numId w:val="3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wmf"/><Relationship Id="rId18" Type="http://schemas.openxmlformats.org/officeDocument/2006/relationships/hyperlink" Target="http://www.impuls-netzwerk.de" TargetMode="External"/><Relationship Id="rId26" Type="http://schemas.openxmlformats.org/officeDocument/2006/relationships/hyperlink" Target="http://www.animmc.ro" TargetMode="External"/><Relationship Id="rId39" Type="http://schemas.openxmlformats.org/officeDocument/2006/relationships/hyperlink" Target="http://www.one-stop-shop-trier.de" TargetMode="External"/><Relationship Id="rId21" Type="http://schemas.openxmlformats.org/officeDocument/2006/relationships/hyperlink" Target="http://www.ichec-pme.be" TargetMode="External"/><Relationship Id="rId34" Type="http://schemas.openxmlformats.org/officeDocument/2006/relationships/hyperlink" Target="http://www.japti.si" TargetMode="External"/><Relationship Id="rId42" Type="http://schemas.openxmlformats.org/officeDocument/2006/relationships/hyperlink" Target="http://www.mcmpgov.mt" TargetMode="External"/><Relationship Id="rId47" Type="http://schemas.openxmlformats.org/officeDocument/2006/relationships/hyperlink" Target="http://www.japti.si" TargetMode="External"/><Relationship Id="rId50" Type="http://schemas.openxmlformats.org/officeDocument/2006/relationships/hyperlink" Target="http://www.marches.public.lu" TargetMode="External"/><Relationship Id="rId55" Type="http://schemas.openxmlformats.org/officeDocument/2006/relationships/hyperlink" Target="http://www.ipyme.org" TargetMode="External"/><Relationship Id="rId63" Type="http://schemas.openxmlformats.org/officeDocument/2006/relationships/hyperlink" Target="http://www.fondovalle.it/" TargetMode="External"/><Relationship Id="rId68" Type="http://schemas.openxmlformats.org/officeDocument/2006/relationships/hyperlink" Target="http://www.sprint-er.it" TargetMode="External"/><Relationship Id="rId7" Type="http://schemas.openxmlformats.org/officeDocument/2006/relationships/header" Target="header1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ec.europa.eu/enterprise/enterprise_policy/charter/gp" TargetMode="External"/><Relationship Id="rId29" Type="http://schemas.openxmlformats.org/officeDocument/2006/relationships/hyperlink" Target="http://www.naec.d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://www.kinderbusinessweek.at" TargetMode="External"/><Relationship Id="rId32" Type="http://schemas.openxmlformats.org/officeDocument/2006/relationships/hyperlink" Target="www.riigikantselei.ee" TargetMode="External"/><Relationship Id="rId37" Type="http://schemas.openxmlformats.org/officeDocument/2006/relationships/hyperlink" Target="http://www.ksz-bcss.fgov.be" TargetMode="External"/><Relationship Id="rId40" Type="http://schemas.openxmlformats.org/officeDocument/2006/relationships/hyperlink" Target="http://www.artifrance.eu" TargetMode="External"/><Relationship Id="rId45" Type="http://schemas.openxmlformats.org/officeDocument/2006/relationships/hyperlink" Target="http://www.ksu.parp.gov.pl" TargetMode="External"/><Relationship Id="rId53" Type="http://schemas.openxmlformats.org/officeDocument/2006/relationships/hyperlink" Target="www.bankofcyprus.com%20" TargetMode="External"/><Relationship Id="rId58" Type="http://schemas.openxmlformats.org/officeDocument/2006/relationships/hyperlink" Target="http://www.cetmos.eu" TargetMode="External"/><Relationship Id="rId66" Type="http://schemas.openxmlformats.org/officeDocument/2006/relationships/hyperlink" Target="http://www.euroinfo.org.pl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23" Type="http://schemas.openxmlformats.org/officeDocument/2006/relationships/hyperlink" Target="http://www.startcentrum.se" TargetMode="External"/><Relationship Id="rId28" Type="http://schemas.openxmlformats.org/officeDocument/2006/relationships/hyperlink" Target="http://www.yrityssuomi.fi" TargetMode="External"/><Relationship Id="rId36" Type="http://schemas.openxmlformats.org/officeDocument/2006/relationships/hyperlink" Target="http://www.y4.fi" TargetMode="External"/><Relationship Id="rId49" Type="http://schemas.openxmlformats.org/officeDocument/2006/relationships/hyperlink" Target="http://www.palkka.fi" TargetMode="External"/><Relationship Id="rId57" Type="http://schemas.openxmlformats.org/officeDocument/2006/relationships/hyperlink" Target="http://www.lsd.lt" TargetMode="External"/><Relationship Id="rId61" Type="http://schemas.openxmlformats.org/officeDocument/2006/relationships/hyperlink" Target="http://www.sme.government.bg" TargetMode="External"/><Relationship Id="rId10" Type="http://schemas.openxmlformats.org/officeDocument/2006/relationships/footer" Target="footer2.xml"/><Relationship Id="rId19" Type="http://schemas.openxmlformats.org/officeDocument/2006/relationships/hyperlink" Target="http://www.projectdynamo.co.uk" TargetMode="External"/><Relationship Id="rId31" Type="http://schemas.openxmlformats.org/officeDocument/2006/relationships/hyperlink" Target="www.osale.ee" TargetMode="External"/><Relationship Id="rId44" Type="http://schemas.openxmlformats.org/officeDocument/2006/relationships/hyperlink" Target="http://www.euroinfo.org.pl" TargetMode="External"/><Relationship Id="rId52" Type="http://schemas.openxmlformats.org/officeDocument/2006/relationships/hyperlink" Target="http://www.enterprise-ireland.com" TargetMode="External"/><Relationship Id="rId60" Type="http://schemas.openxmlformats.org/officeDocument/2006/relationships/hyperlink" Target="http://www.chic.hu" TargetMode="External"/><Relationship Id="rId65" Type="http://schemas.openxmlformats.org/officeDocument/2006/relationships/hyperlink" Target="http://www.lebensministerium.at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hyperlink" Target="http://www.emaxevent.com" TargetMode="External"/><Relationship Id="rId27" Type="http://schemas.openxmlformats.org/officeDocument/2006/relationships/hyperlink" Target="http://www.te-keskus.fi" TargetMode="External"/><Relationship Id="rId30" Type="http://schemas.openxmlformats.org/officeDocument/2006/relationships/hyperlink" Target="http://www.beci.be" TargetMode="External"/><Relationship Id="rId35" Type="http://schemas.openxmlformats.org/officeDocument/2006/relationships/hyperlink" Target="http://www.businesslink.gov.uk" TargetMode="External"/><Relationship Id="rId43" Type="http://schemas.openxmlformats.org/officeDocument/2006/relationships/hyperlink" Target="www.bedrijvenloket.nl%20" TargetMode="External"/><Relationship Id="rId48" Type="http://schemas.openxmlformats.org/officeDocument/2006/relationships/hyperlink" Target="http://www.telecom.gov.sk" TargetMode="External"/><Relationship Id="rId56" Type="http://schemas.openxmlformats.org/officeDocument/2006/relationships/hyperlink" Target="http://www.inter-ned.info" TargetMode="External"/><Relationship Id="rId64" Type="http://schemas.openxmlformats.org/officeDocument/2006/relationships/hyperlink" Target="http://www.fin.ee" TargetMode="External"/><Relationship Id="rId69" Type="http://schemas.openxmlformats.org/officeDocument/2006/relationships/footer" Target="footer6.xml"/><Relationship Id="rId8" Type="http://schemas.openxmlformats.org/officeDocument/2006/relationships/header" Target="header2.xml"/><Relationship Id="rId51" Type="http://schemas.openxmlformats.org/officeDocument/2006/relationships/hyperlink" Target="http://www.mtp.public.lu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hyperlink" Target="http://ec.europa.eu/enterprise/entrepreneurship/smes/awards/download/compendium_2007_en_lowres.pdf" TargetMode="External"/><Relationship Id="rId25" Type="http://schemas.openxmlformats.org/officeDocument/2006/relationships/hyperlink" Target="http://www.emprendemosjuntos.es" TargetMode="External"/><Relationship Id="rId33" Type="http://schemas.openxmlformats.org/officeDocument/2006/relationships/hyperlink" Target="http://www.valitsus.ee" TargetMode="External"/><Relationship Id="rId38" Type="http://schemas.openxmlformats.org/officeDocument/2006/relationships/hyperlink" Target="http://www.mpo.cz" TargetMode="External"/><Relationship Id="rId46" Type="http://schemas.openxmlformats.org/officeDocument/2006/relationships/hyperlink" Target="http://www.portaldaempresa.pt" TargetMode="External"/><Relationship Id="rId59" Type="http://schemas.openxmlformats.org/officeDocument/2006/relationships/hyperlink" Target="http://www.entemp.ie" TargetMode="External"/><Relationship Id="rId67" Type="http://schemas.openxmlformats.org/officeDocument/2006/relationships/hyperlink" Target="http://www.portalpipe.com" TargetMode="External"/><Relationship Id="rId20" Type="http://schemas.openxmlformats.org/officeDocument/2006/relationships/hyperlink" Target="www.becauseyoucan.com" TargetMode="External"/><Relationship Id="rId41" Type="http://schemas.openxmlformats.org/officeDocument/2006/relationships/hyperlink" Target="http://www.cro.ie" TargetMode="External"/><Relationship Id="rId54" Type="http://schemas.openxmlformats.org/officeDocument/2006/relationships/hyperlink" Target="http://www.lga.lv" TargetMode="External"/><Relationship Id="rId62" Type="http://schemas.openxmlformats.org/officeDocument/2006/relationships/hyperlink" Target="http://www.htci.gr" TargetMode="External"/><Relationship Id="rId70" Type="http://schemas.openxmlformats.org/officeDocument/2006/relationships/footer" Target="footer7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nterprise/enterprise_policy/analysis/observatory_en.htm" TargetMode="External"/><Relationship Id="rId7" Type="http://schemas.openxmlformats.org/officeDocument/2006/relationships/hyperlink" Target="http://ec.europa.eu/solvit/site/index_en.htm" TargetMode="External"/><Relationship Id="rId2" Type="http://schemas.openxmlformats.org/officeDocument/2006/relationships/hyperlink" Target="http://ec.europa.eu/enterprise/admin-burdens-reduction/home_en.htm" TargetMode="External"/><Relationship Id="rId1" Type="http://schemas.openxmlformats.org/officeDocument/2006/relationships/hyperlink" Target="http://ec.europa.eu/enterprise/enterprise_policy/charter/docs/charter_hu.pdf" TargetMode="External"/><Relationship Id="rId6" Type="http://schemas.openxmlformats.org/officeDocument/2006/relationships/hyperlink" Target="http://www.enterprise-europe-network.ec.europa.eu/" TargetMode="External"/><Relationship Id="rId5" Type="http://schemas.openxmlformats.org/officeDocument/2006/relationships/hyperlink" Target="http://ec.europa.eu/enterprise/entrepreneurship/docs/SME_public_procurement_Summary.pdf" TargetMode="External"/><Relationship Id="rId4" Type="http://schemas.openxmlformats.org/officeDocument/2006/relationships/hyperlink" Target="http://ec.europa.eu/enterprise/enterprise_policy/survey/eurobarometer_intro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templates\COM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</Template>
  <TotalTime>1</TotalTime>
  <Pages>30</Pages>
  <Words>8039</Words>
  <Characters>55474</Characters>
  <Application>Microsoft Office Word</Application>
  <DocSecurity>0</DocSecurity>
  <Lines>462</Lines>
  <Paragraphs>126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EN</vt:lpstr>
    </vt:vector>
  </TitlesOfParts>
  <Company/>
  <LinksUpToDate>false</LinksUpToDate>
  <CharactersWithSpaces>63387</CharactersWithSpaces>
  <SharedDoc>false</SharedDoc>
  <HLinks>
    <vt:vector size="360" baseType="variant">
      <vt:variant>
        <vt:i4>6094850</vt:i4>
      </vt:variant>
      <vt:variant>
        <vt:i4>159</vt:i4>
      </vt:variant>
      <vt:variant>
        <vt:i4>0</vt:i4>
      </vt:variant>
      <vt:variant>
        <vt:i4>5</vt:i4>
      </vt:variant>
      <vt:variant>
        <vt:lpwstr>http://www.sprint-er.it/</vt:lpwstr>
      </vt:variant>
      <vt:variant>
        <vt:lpwstr/>
      </vt:variant>
      <vt:variant>
        <vt:i4>2490405</vt:i4>
      </vt:variant>
      <vt:variant>
        <vt:i4>156</vt:i4>
      </vt:variant>
      <vt:variant>
        <vt:i4>0</vt:i4>
      </vt:variant>
      <vt:variant>
        <vt:i4>5</vt:i4>
      </vt:variant>
      <vt:variant>
        <vt:lpwstr>http://www.portalpipe.com/</vt:lpwstr>
      </vt:variant>
      <vt:variant>
        <vt:lpwstr/>
      </vt:variant>
      <vt:variant>
        <vt:i4>2949171</vt:i4>
      </vt:variant>
      <vt:variant>
        <vt:i4>153</vt:i4>
      </vt:variant>
      <vt:variant>
        <vt:i4>0</vt:i4>
      </vt:variant>
      <vt:variant>
        <vt:i4>5</vt:i4>
      </vt:variant>
      <vt:variant>
        <vt:lpwstr>http://www.euroinfo.org.pl/</vt:lpwstr>
      </vt:variant>
      <vt:variant>
        <vt:lpwstr/>
      </vt:variant>
      <vt:variant>
        <vt:i4>1310730</vt:i4>
      </vt:variant>
      <vt:variant>
        <vt:i4>150</vt:i4>
      </vt:variant>
      <vt:variant>
        <vt:i4>0</vt:i4>
      </vt:variant>
      <vt:variant>
        <vt:i4>5</vt:i4>
      </vt:variant>
      <vt:variant>
        <vt:lpwstr>http://www.lebensministerium.at/</vt:lpwstr>
      </vt:variant>
      <vt:variant>
        <vt:lpwstr/>
      </vt:variant>
      <vt:variant>
        <vt:i4>6881394</vt:i4>
      </vt:variant>
      <vt:variant>
        <vt:i4>147</vt:i4>
      </vt:variant>
      <vt:variant>
        <vt:i4>0</vt:i4>
      </vt:variant>
      <vt:variant>
        <vt:i4>5</vt:i4>
      </vt:variant>
      <vt:variant>
        <vt:lpwstr>http://www.fin.ee/</vt:lpwstr>
      </vt:variant>
      <vt:variant>
        <vt:lpwstr/>
      </vt:variant>
      <vt:variant>
        <vt:i4>1769549</vt:i4>
      </vt:variant>
      <vt:variant>
        <vt:i4>144</vt:i4>
      </vt:variant>
      <vt:variant>
        <vt:i4>0</vt:i4>
      </vt:variant>
      <vt:variant>
        <vt:i4>5</vt:i4>
      </vt:variant>
      <vt:variant>
        <vt:lpwstr>http://www.fondovalle.it/</vt:lpwstr>
      </vt:variant>
      <vt:variant>
        <vt:lpwstr/>
      </vt:variant>
      <vt:variant>
        <vt:i4>8126506</vt:i4>
      </vt:variant>
      <vt:variant>
        <vt:i4>141</vt:i4>
      </vt:variant>
      <vt:variant>
        <vt:i4>0</vt:i4>
      </vt:variant>
      <vt:variant>
        <vt:i4>5</vt:i4>
      </vt:variant>
      <vt:variant>
        <vt:lpwstr>http://www.htci.gr/</vt:lpwstr>
      </vt:variant>
      <vt:variant>
        <vt:lpwstr/>
      </vt:variant>
      <vt:variant>
        <vt:i4>1310724</vt:i4>
      </vt:variant>
      <vt:variant>
        <vt:i4>138</vt:i4>
      </vt:variant>
      <vt:variant>
        <vt:i4>0</vt:i4>
      </vt:variant>
      <vt:variant>
        <vt:i4>5</vt:i4>
      </vt:variant>
      <vt:variant>
        <vt:lpwstr>http://www.sme.government.bg/</vt:lpwstr>
      </vt:variant>
      <vt:variant>
        <vt:lpwstr/>
      </vt:variant>
      <vt:variant>
        <vt:i4>7995443</vt:i4>
      </vt:variant>
      <vt:variant>
        <vt:i4>135</vt:i4>
      </vt:variant>
      <vt:variant>
        <vt:i4>0</vt:i4>
      </vt:variant>
      <vt:variant>
        <vt:i4>5</vt:i4>
      </vt:variant>
      <vt:variant>
        <vt:lpwstr>http://www.chic.hu/</vt:lpwstr>
      </vt:variant>
      <vt:variant>
        <vt:lpwstr/>
      </vt:variant>
      <vt:variant>
        <vt:i4>1835074</vt:i4>
      </vt:variant>
      <vt:variant>
        <vt:i4>132</vt:i4>
      </vt:variant>
      <vt:variant>
        <vt:i4>0</vt:i4>
      </vt:variant>
      <vt:variant>
        <vt:i4>5</vt:i4>
      </vt:variant>
      <vt:variant>
        <vt:lpwstr>http://www.entemp.ie/</vt:lpwstr>
      </vt:variant>
      <vt:variant>
        <vt:lpwstr/>
      </vt:variant>
      <vt:variant>
        <vt:i4>524366</vt:i4>
      </vt:variant>
      <vt:variant>
        <vt:i4>129</vt:i4>
      </vt:variant>
      <vt:variant>
        <vt:i4>0</vt:i4>
      </vt:variant>
      <vt:variant>
        <vt:i4>5</vt:i4>
      </vt:variant>
      <vt:variant>
        <vt:lpwstr>http://www.cetmos.eu/</vt:lpwstr>
      </vt:variant>
      <vt:variant>
        <vt:lpwstr/>
      </vt:variant>
      <vt:variant>
        <vt:i4>6291577</vt:i4>
      </vt:variant>
      <vt:variant>
        <vt:i4>126</vt:i4>
      </vt:variant>
      <vt:variant>
        <vt:i4>0</vt:i4>
      </vt:variant>
      <vt:variant>
        <vt:i4>5</vt:i4>
      </vt:variant>
      <vt:variant>
        <vt:lpwstr>http://www.lsd.lt/</vt:lpwstr>
      </vt:variant>
      <vt:variant>
        <vt:lpwstr/>
      </vt:variant>
      <vt:variant>
        <vt:i4>7209020</vt:i4>
      </vt:variant>
      <vt:variant>
        <vt:i4>123</vt:i4>
      </vt:variant>
      <vt:variant>
        <vt:i4>0</vt:i4>
      </vt:variant>
      <vt:variant>
        <vt:i4>5</vt:i4>
      </vt:variant>
      <vt:variant>
        <vt:lpwstr>http://www.inter-ned.info/</vt:lpwstr>
      </vt:variant>
      <vt:variant>
        <vt:lpwstr/>
      </vt:variant>
      <vt:variant>
        <vt:i4>5636113</vt:i4>
      </vt:variant>
      <vt:variant>
        <vt:i4>120</vt:i4>
      </vt:variant>
      <vt:variant>
        <vt:i4>0</vt:i4>
      </vt:variant>
      <vt:variant>
        <vt:i4>5</vt:i4>
      </vt:variant>
      <vt:variant>
        <vt:lpwstr>http://www.ipyme.org/</vt:lpwstr>
      </vt:variant>
      <vt:variant>
        <vt:lpwstr/>
      </vt:variant>
      <vt:variant>
        <vt:i4>6619247</vt:i4>
      </vt:variant>
      <vt:variant>
        <vt:i4>117</vt:i4>
      </vt:variant>
      <vt:variant>
        <vt:i4>0</vt:i4>
      </vt:variant>
      <vt:variant>
        <vt:i4>5</vt:i4>
      </vt:variant>
      <vt:variant>
        <vt:lpwstr>http://www.lga.lv/</vt:lpwstr>
      </vt:variant>
      <vt:variant>
        <vt:lpwstr/>
      </vt:variant>
      <vt:variant>
        <vt:i4>1769507</vt:i4>
      </vt:variant>
      <vt:variant>
        <vt:i4>114</vt:i4>
      </vt:variant>
      <vt:variant>
        <vt:i4>0</vt:i4>
      </vt:variant>
      <vt:variant>
        <vt:i4>5</vt:i4>
      </vt:variant>
      <vt:variant>
        <vt:lpwstr>C:\Documents and Settings\Fruzsi\Local Settings\Temp\www.bankofcyprus.com</vt:lpwstr>
      </vt:variant>
      <vt:variant>
        <vt:lpwstr/>
      </vt:variant>
      <vt:variant>
        <vt:i4>7995424</vt:i4>
      </vt:variant>
      <vt:variant>
        <vt:i4>111</vt:i4>
      </vt:variant>
      <vt:variant>
        <vt:i4>0</vt:i4>
      </vt:variant>
      <vt:variant>
        <vt:i4>5</vt:i4>
      </vt:variant>
      <vt:variant>
        <vt:lpwstr>http://www.enterprise-ireland.com/</vt:lpwstr>
      </vt:variant>
      <vt:variant>
        <vt:lpwstr/>
      </vt:variant>
      <vt:variant>
        <vt:i4>1441820</vt:i4>
      </vt:variant>
      <vt:variant>
        <vt:i4>108</vt:i4>
      </vt:variant>
      <vt:variant>
        <vt:i4>0</vt:i4>
      </vt:variant>
      <vt:variant>
        <vt:i4>5</vt:i4>
      </vt:variant>
      <vt:variant>
        <vt:lpwstr>http://www.mtp.public.lu/</vt:lpwstr>
      </vt:variant>
      <vt:variant>
        <vt:lpwstr/>
      </vt:variant>
      <vt:variant>
        <vt:i4>983055</vt:i4>
      </vt:variant>
      <vt:variant>
        <vt:i4>105</vt:i4>
      </vt:variant>
      <vt:variant>
        <vt:i4>0</vt:i4>
      </vt:variant>
      <vt:variant>
        <vt:i4>5</vt:i4>
      </vt:variant>
      <vt:variant>
        <vt:lpwstr>http://www.marches.public.lu/</vt:lpwstr>
      </vt:variant>
      <vt:variant>
        <vt:lpwstr/>
      </vt:variant>
      <vt:variant>
        <vt:i4>1769565</vt:i4>
      </vt:variant>
      <vt:variant>
        <vt:i4>102</vt:i4>
      </vt:variant>
      <vt:variant>
        <vt:i4>0</vt:i4>
      </vt:variant>
      <vt:variant>
        <vt:i4>5</vt:i4>
      </vt:variant>
      <vt:variant>
        <vt:lpwstr>http://www.palkka.fi/</vt:lpwstr>
      </vt:variant>
      <vt:variant>
        <vt:lpwstr/>
      </vt:variant>
      <vt:variant>
        <vt:i4>7340091</vt:i4>
      </vt:variant>
      <vt:variant>
        <vt:i4>99</vt:i4>
      </vt:variant>
      <vt:variant>
        <vt:i4>0</vt:i4>
      </vt:variant>
      <vt:variant>
        <vt:i4>5</vt:i4>
      </vt:variant>
      <vt:variant>
        <vt:lpwstr>http://www.telecom.gov.sk/</vt:lpwstr>
      </vt:variant>
      <vt:variant>
        <vt:lpwstr/>
      </vt:variant>
      <vt:variant>
        <vt:i4>262146</vt:i4>
      </vt:variant>
      <vt:variant>
        <vt:i4>96</vt:i4>
      </vt:variant>
      <vt:variant>
        <vt:i4>0</vt:i4>
      </vt:variant>
      <vt:variant>
        <vt:i4>5</vt:i4>
      </vt:variant>
      <vt:variant>
        <vt:lpwstr>http://www.japti.si/</vt:lpwstr>
      </vt:variant>
      <vt:variant>
        <vt:lpwstr/>
      </vt:variant>
      <vt:variant>
        <vt:i4>6422640</vt:i4>
      </vt:variant>
      <vt:variant>
        <vt:i4>93</vt:i4>
      </vt:variant>
      <vt:variant>
        <vt:i4>0</vt:i4>
      </vt:variant>
      <vt:variant>
        <vt:i4>5</vt:i4>
      </vt:variant>
      <vt:variant>
        <vt:lpwstr>http://www.portaldaempresa.pt/</vt:lpwstr>
      </vt:variant>
      <vt:variant>
        <vt:lpwstr/>
      </vt:variant>
      <vt:variant>
        <vt:i4>3407997</vt:i4>
      </vt:variant>
      <vt:variant>
        <vt:i4>90</vt:i4>
      </vt:variant>
      <vt:variant>
        <vt:i4>0</vt:i4>
      </vt:variant>
      <vt:variant>
        <vt:i4>5</vt:i4>
      </vt:variant>
      <vt:variant>
        <vt:lpwstr>http://www.ksu.parp.gov.pl/</vt:lpwstr>
      </vt:variant>
      <vt:variant>
        <vt:lpwstr/>
      </vt:variant>
      <vt:variant>
        <vt:i4>2949171</vt:i4>
      </vt:variant>
      <vt:variant>
        <vt:i4>87</vt:i4>
      </vt:variant>
      <vt:variant>
        <vt:i4>0</vt:i4>
      </vt:variant>
      <vt:variant>
        <vt:i4>5</vt:i4>
      </vt:variant>
      <vt:variant>
        <vt:lpwstr>http://www.euroinfo.org.pl/</vt:lpwstr>
      </vt:variant>
      <vt:variant>
        <vt:lpwstr/>
      </vt:variant>
      <vt:variant>
        <vt:i4>6291537</vt:i4>
      </vt:variant>
      <vt:variant>
        <vt:i4>84</vt:i4>
      </vt:variant>
      <vt:variant>
        <vt:i4>0</vt:i4>
      </vt:variant>
      <vt:variant>
        <vt:i4>5</vt:i4>
      </vt:variant>
      <vt:variant>
        <vt:lpwstr>C:\Documents and Settings\Fruzsi\Local Settings\Temp\www.bedrijvenloket.nl</vt:lpwstr>
      </vt:variant>
      <vt:variant>
        <vt:lpwstr/>
      </vt:variant>
      <vt:variant>
        <vt:i4>7864438</vt:i4>
      </vt:variant>
      <vt:variant>
        <vt:i4>81</vt:i4>
      </vt:variant>
      <vt:variant>
        <vt:i4>0</vt:i4>
      </vt:variant>
      <vt:variant>
        <vt:i4>5</vt:i4>
      </vt:variant>
      <vt:variant>
        <vt:lpwstr>http://www.mcmpgov.mt/</vt:lpwstr>
      </vt:variant>
      <vt:variant>
        <vt:lpwstr/>
      </vt:variant>
      <vt:variant>
        <vt:i4>6357097</vt:i4>
      </vt:variant>
      <vt:variant>
        <vt:i4>78</vt:i4>
      </vt:variant>
      <vt:variant>
        <vt:i4>0</vt:i4>
      </vt:variant>
      <vt:variant>
        <vt:i4>5</vt:i4>
      </vt:variant>
      <vt:variant>
        <vt:lpwstr>http://www.cro.ie/</vt:lpwstr>
      </vt:variant>
      <vt:variant>
        <vt:lpwstr/>
      </vt:variant>
      <vt:variant>
        <vt:i4>65623</vt:i4>
      </vt:variant>
      <vt:variant>
        <vt:i4>75</vt:i4>
      </vt:variant>
      <vt:variant>
        <vt:i4>0</vt:i4>
      </vt:variant>
      <vt:variant>
        <vt:i4>5</vt:i4>
      </vt:variant>
      <vt:variant>
        <vt:lpwstr>http://www.artifrance.eu/</vt:lpwstr>
      </vt:variant>
      <vt:variant>
        <vt:lpwstr/>
      </vt:variant>
      <vt:variant>
        <vt:i4>2883706</vt:i4>
      </vt:variant>
      <vt:variant>
        <vt:i4>72</vt:i4>
      </vt:variant>
      <vt:variant>
        <vt:i4>0</vt:i4>
      </vt:variant>
      <vt:variant>
        <vt:i4>5</vt:i4>
      </vt:variant>
      <vt:variant>
        <vt:lpwstr>http://www.one-stop-shop-trier.de/</vt:lpwstr>
      </vt:variant>
      <vt:variant>
        <vt:lpwstr/>
      </vt:variant>
      <vt:variant>
        <vt:i4>6619252</vt:i4>
      </vt:variant>
      <vt:variant>
        <vt:i4>69</vt:i4>
      </vt:variant>
      <vt:variant>
        <vt:i4>0</vt:i4>
      </vt:variant>
      <vt:variant>
        <vt:i4>5</vt:i4>
      </vt:variant>
      <vt:variant>
        <vt:lpwstr>http://www.mpo.cz/</vt:lpwstr>
      </vt:variant>
      <vt:variant>
        <vt:lpwstr/>
      </vt:variant>
      <vt:variant>
        <vt:i4>5832796</vt:i4>
      </vt:variant>
      <vt:variant>
        <vt:i4>66</vt:i4>
      </vt:variant>
      <vt:variant>
        <vt:i4>0</vt:i4>
      </vt:variant>
      <vt:variant>
        <vt:i4>5</vt:i4>
      </vt:variant>
      <vt:variant>
        <vt:lpwstr>http://www.ksz-bcss.fgov.be/</vt:lpwstr>
      </vt:variant>
      <vt:variant>
        <vt:lpwstr/>
      </vt:variant>
      <vt:variant>
        <vt:i4>1376258</vt:i4>
      </vt:variant>
      <vt:variant>
        <vt:i4>63</vt:i4>
      </vt:variant>
      <vt:variant>
        <vt:i4>0</vt:i4>
      </vt:variant>
      <vt:variant>
        <vt:i4>5</vt:i4>
      </vt:variant>
      <vt:variant>
        <vt:lpwstr>http://www.y4.fi/</vt:lpwstr>
      </vt:variant>
      <vt:variant>
        <vt:lpwstr/>
      </vt:variant>
      <vt:variant>
        <vt:i4>2162748</vt:i4>
      </vt:variant>
      <vt:variant>
        <vt:i4>60</vt:i4>
      </vt:variant>
      <vt:variant>
        <vt:i4>0</vt:i4>
      </vt:variant>
      <vt:variant>
        <vt:i4>5</vt:i4>
      </vt:variant>
      <vt:variant>
        <vt:lpwstr>http://www.businesslink.gov.uk/</vt:lpwstr>
      </vt:variant>
      <vt:variant>
        <vt:lpwstr/>
      </vt:variant>
      <vt:variant>
        <vt:i4>262146</vt:i4>
      </vt:variant>
      <vt:variant>
        <vt:i4>57</vt:i4>
      </vt:variant>
      <vt:variant>
        <vt:i4>0</vt:i4>
      </vt:variant>
      <vt:variant>
        <vt:i4>5</vt:i4>
      </vt:variant>
      <vt:variant>
        <vt:lpwstr>http://www.japti.si/</vt:lpwstr>
      </vt:variant>
      <vt:variant>
        <vt:lpwstr/>
      </vt:variant>
      <vt:variant>
        <vt:i4>8060989</vt:i4>
      </vt:variant>
      <vt:variant>
        <vt:i4>54</vt:i4>
      </vt:variant>
      <vt:variant>
        <vt:i4>0</vt:i4>
      </vt:variant>
      <vt:variant>
        <vt:i4>5</vt:i4>
      </vt:variant>
      <vt:variant>
        <vt:lpwstr>http://www.valitsus.ee/</vt:lpwstr>
      </vt:variant>
      <vt:variant>
        <vt:lpwstr/>
      </vt:variant>
      <vt:variant>
        <vt:i4>7536716</vt:i4>
      </vt:variant>
      <vt:variant>
        <vt:i4>51</vt:i4>
      </vt:variant>
      <vt:variant>
        <vt:i4>0</vt:i4>
      </vt:variant>
      <vt:variant>
        <vt:i4>5</vt:i4>
      </vt:variant>
      <vt:variant>
        <vt:lpwstr>C:\Documents and Settings\Fruzsi\Local Settings\Temp\www.riigikantselei.ee</vt:lpwstr>
      </vt:variant>
      <vt:variant>
        <vt:lpwstr/>
      </vt:variant>
      <vt:variant>
        <vt:i4>5308517</vt:i4>
      </vt:variant>
      <vt:variant>
        <vt:i4>48</vt:i4>
      </vt:variant>
      <vt:variant>
        <vt:i4>0</vt:i4>
      </vt:variant>
      <vt:variant>
        <vt:i4>5</vt:i4>
      </vt:variant>
      <vt:variant>
        <vt:lpwstr>C:\Documents and Settings\Fruzsi\Local Settings\Temp\www.osale.ee</vt:lpwstr>
      </vt:variant>
      <vt:variant>
        <vt:lpwstr/>
      </vt:variant>
      <vt:variant>
        <vt:i4>6357054</vt:i4>
      </vt:variant>
      <vt:variant>
        <vt:i4>45</vt:i4>
      </vt:variant>
      <vt:variant>
        <vt:i4>0</vt:i4>
      </vt:variant>
      <vt:variant>
        <vt:i4>5</vt:i4>
      </vt:variant>
      <vt:variant>
        <vt:lpwstr>http://www.beci.be/</vt:lpwstr>
      </vt:variant>
      <vt:variant>
        <vt:lpwstr/>
      </vt:variant>
      <vt:variant>
        <vt:i4>6619190</vt:i4>
      </vt:variant>
      <vt:variant>
        <vt:i4>42</vt:i4>
      </vt:variant>
      <vt:variant>
        <vt:i4>0</vt:i4>
      </vt:variant>
      <vt:variant>
        <vt:i4>5</vt:i4>
      </vt:variant>
      <vt:variant>
        <vt:lpwstr>http://www.naec.dk/</vt:lpwstr>
      </vt:variant>
      <vt:variant>
        <vt:lpwstr/>
      </vt:variant>
      <vt:variant>
        <vt:i4>8257658</vt:i4>
      </vt:variant>
      <vt:variant>
        <vt:i4>39</vt:i4>
      </vt:variant>
      <vt:variant>
        <vt:i4>0</vt:i4>
      </vt:variant>
      <vt:variant>
        <vt:i4>5</vt:i4>
      </vt:variant>
      <vt:variant>
        <vt:lpwstr>http://www.yrityssuomi.fi/</vt:lpwstr>
      </vt:variant>
      <vt:variant>
        <vt:lpwstr/>
      </vt:variant>
      <vt:variant>
        <vt:i4>4587551</vt:i4>
      </vt:variant>
      <vt:variant>
        <vt:i4>36</vt:i4>
      </vt:variant>
      <vt:variant>
        <vt:i4>0</vt:i4>
      </vt:variant>
      <vt:variant>
        <vt:i4>5</vt:i4>
      </vt:variant>
      <vt:variant>
        <vt:lpwstr>http://www.te-keskus.fi/</vt:lpwstr>
      </vt:variant>
      <vt:variant>
        <vt:lpwstr/>
      </vt:variant>
      <vt:variant>
        <vt:i4>983106</vt:i4>
      </vt:variant>
      <vt:variant>
        <vt:i4>33</vt:i4>
      </vt:variant>
      <vt:variant>
        <vt:i4>0</vt:i4>
      </vt:variant>
      <vt:variant>
        <vt:i4>5</vt:i4>
      </vt:variant>
      <vt:variant>
        <vt:lpwstr>http://www.animmc.ro/</vt:lpwstr>
      </vt:variant>
      <vt:variant>
        <vt:lpwstr/>
      </vt:variant>
      <vt:variant>
        <vt:i4>1638429</vt:i4>
      </vt:variant>
      <vt:variant>
        <vt:i4>30</vt:i4>
      </vt:variant>
      <vt:variant>
        <vt:i4>0</vt:i4>
      </vt:variant>
      <vt:variant>
        <vt:i4>5</vt:i4>
      </vt:variant>
      <vt:variant>
        <vt:lpwstr>http://www.emprendemosjuntos.es/</vt:lpwstr>
      </vt:variant>
      <vt:variant>
        <vt:lpwstr/>
      </vt:variant>
      <vt:variant>
        <vt:i4>983114</vt:i4>
      </vt:variant>
      <vt:variant>
        <vt:i4>27</vt:i4>
      </vt:variant>
      <vt:variant>
        <vt:i4>0</vt:i4>
      </vt:variant>
      <vt:variant>
        <vt:i4>5</vt:i4>
      </vt:variant>
      <vt:variant>
        <vt:lpwstr>http://www.kinderbusinessweek.at/</vt:lpwstr>
      </vt:variant>
      <vt:variant>
        <vt:lpwstr/>
      </vt:variant>
      <vt:variant>
        <vt:i4>6422583</vt:i4>
      </vt:variant>
      <vt:variant>
        <vt:i4>24</vt:i4>
      </vt:variant>
      <vt:variant>
        <vt:i4>0</vt:i4>
      </vt:variant>
      <vt:variant>
        <vt:i4>5</vt:i4>
      </vt:variant>
      <vt:variant>
        <vt:lpwstr>http://www.startcentrum.se/</vt:lpwstr>
      </vt:variant>
      <vt:variant>
        <vt:lpwstr/>
      </vt:variant>
      <vt:variant>
        <vt:i4>5570588</vt:i4>
      </vt:variant>
      <vt:variant>
        <vt:i4>21</vt:i4>
      </vt:variant>
      <vt:variant>
        <vt:i4>0</vt:i4>
      </vt:variant>
      <vt:variant>
        <vt:i4>5</vt:i4>
      </vt:variant>
      <vt:variant>
        <vt:lpwstr>http://www.emaxevent.com/</vt:lpwstr>
      </vt:variant>
      <vt:variant>
        <vt:lpwstr/>
      </vt:variant>
      <vt:variant>
        <vt:i4>1114205</vt:i4>
      </vt:variant>
      <vt:variant>
        <vt:i4>18</vt:i4>
      </vt:variant>
      <vt:variant>
        <vt:i4>0</vt:i4>
      </vt:variant>
      <vt:variant>
        <vt:i4>5</vt:i4>
      </vt:variant>
      <vt:variant>
        <vt:lpwstr>http://www.ichec-pme.be/</vt:lpwstr>
      </vt:variant>
      <vt:variant>
        <vt:lpwstr/>
      </vt:variant>
      <vt:variant>
        <vt:i4>2228239</vt:i4>
      </vt:variant>
      <vt:variant>
        <vt:i4>15</vt:i4>
      </vt:variant>
      <vt:variant>
        <vt:i4>0</vt:i4>
      </vt:variant>
      <vt:variant>
        <vt:i4>5</vt:i4>
      </vt:variant>
      <vt:variant>
        <vt:lpwstr>C:\Documents and Settings\Fruzsi\Local Settings\Temp\www.becauseyoucan.com</vt:lpwstr>
      </vt:variant>
      <vt:variant>
        <vt:lpwstr/>
      </vt:variant>
      <vt:variant>
        <vt:i4>7602296</vt:i4>
      </vt:variant>
      <vt:variant>
        <vt:i4>12</vt:i4>
      </vt:variant>
      <vt:variant>
        <vt:i4>0</vt:i4>
      </vt:variant>
      <vt:variant>
        <vt:i4>5</vt:i4>
      </vt:variant>
      <vt:variant>
        <vt:lpwstr>http://www.projectdynamo.co.uk/</vt:lpwstr>
      </vt:variant>
      <vt:variant>
        <vt:lpwstr/>
      </vt:variant>
      <vt:variant>
        <vt:i4>2687087</vt:i4>
      </vt:variant>
      <vt:variant>
        <vt:i4>9</vt:i4>
      </vt:variant>
      <vt:variant>
        <vt:i4>0</vt:i4>
      </vt:variant>
      <vt:variant>
        <vt:i4>5</vt:i4>
      </vt:variant>
      <vt:variant>
        <vt:lpwstr>http://www.impuls-netzwerk.de/</vt:lpwstr>
      </vt:variant>
      <vt:variant>
        <vt:lpwstr/>
      </vt:variant>
      <vt:variant>
        <vt:i4>3211281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http://ec.europa.eu/enterprise/entrepreneurship/smes/awards/download/compendium_2007_en_lowres.pdf</vt:lpwstr>
      </vt:variant>
      <vt:variant>
        <vt:lpwstr/>
      </vt:variant>
      <vt:variant>
        <vt:i4>458860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http://ec.europa.eu/enterprise/enterprise_policy/charter/gp</vt:lpwstr>
      </vt:variant>
      <vt:variant>
        <vt:lpwstr/>
      </vt:variant>
      <vt:variant>
        <vt:i4>2818121</vt:i4>
      </vt:variant>
      <vt:variant>
        <vt:i4>18</vt:i4>
      </vt:variant>
      <vt:variant>
        <vt:i4>0</vt:i4>
      </vt:variant>
      <vt:variant>
        <vt:i4>5</vt:i4>
      </vt:variant>
      <vt:variant>
        <vt:lpwstr>http://ec.europa.eu/solvit/site/index_en.htm</vt:lpwstr>
      </vt:variant>
      <vt:variant>
        <vt:lpwstr/>
      </vt:variant>
      <vt:variant>
        <vt:i4>8323196</vt:i4>
      </vt:variant>
      <vt:variant>
        <vt:i4>15</vt:i4>
      </vt:variant>
      <vt:variant>
        <vt:i4>0</vt:i4>
      </vt:variant>
      <vt:variant>
        <vt:i4>5</vt:i4>
      </vt:variant>
      <vt:variant>
        <vt:lpwstr>http://www.enterprise-europe-network.ec.europa.eu/</vt:lpwstr>
      </vt:variant>
      <vt:variant>
        <vt:lpwstr/>
      </vt:variant>
      <vt:variant>
        <vt:i4>4128789</vt:i4>
      </vt:variant>
      <vt:variant>
        <vt:i4>12</vt:i4>
      </vt:variant>
      <vt:variant>
        <vt:i4>0</vt:i4>
      </vt:variant>
      <vt:variant>
        <vt:i4>5</vt:i4>
      </vt:variant>
      <vt:variant>
        <vt:lpwstr>http://ec.europa.eu/enterprise/entrepreneurship/docs/SME_public_procurement_Summary.pdf</vt:lpwstr>
      </vt:variant>
      <vt:variant>
        <vt:lpwstr/>
      </vt:variant>
      <vt:variant>
        <vt:i4>2228272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http://ec.europa.eu/enterprise/enterprise_policy/survey/eurobarometer_intro.htm</vt:lpwstr>
      </vt:variant>
      <vt:variant>
        <vt:lpwstr/>
      </vt:variant>
      <vt:variant>
        <vt:i4>1572888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http://ec.europa.eu/enterprise/enterprise_policy/analysis/observatory_en.htm</vt:lpwstr>
      </vt:variant>
      <vt:variant>
        <vt:lpwstr/>
      </vt:variant>
      <vt:variant>
        <vt:i4>65656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http://ec.europa.eu/enterprise/admin-burdens-reduction/home_en.htm</vt:lpwstr>
      </vt:variant>
      <vt:variant>
        <vt:lpwstr/>
      </vt:variant>
      <vt:variant>
        <vt:i4>720982</vt:i4>
      </vt:variant>
      <vt:variant>
        <vt:i4>0</vt:i4>
      </vt:variant>
      <vt:variant>
        <vt:i4>0</vt:i4>
      </vt:variant>
      <vt:variant>
        <vt:i4>5</vt:i4>
      </vt:variant>
      <vt:variant>
        <vt:lpwstr>http://ec.europa.eu/enterprise/enterprise_policy/charter/docs/charter_hu.pdf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</dc:title>
  <dc:creator>Fruzsi</dc:creator>
  <cp:lastModifiedBy>Sillye András</cp:lastModifiedBy>
  <cp:revision>2</cp:revision>
  <cp:lastPrinted>2008-07-09T08:32:00Z</cp:lastPrinted>
  <dcterms:created xsi:type="dcterms:W3CDTF">2012-03-12T20:20:00Z</dcterms:created>
  <dcterms:modified xsi:type="dcterms:W3CDTF">2012-03-12T20:20:00Z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y">
    <vt:lpwstr>COM/SEC</vt:lpwstr>
  </property>
  <property fmtid="{D5CDD505-2E9C-101B-9397-08002B2CF9AE}" pid="3" name="Classification">
    <vt:lpwstr> </vt:lpwstr>
  </property>
  <property fmtid="{D5CDD505-2E9C-101B-9397-08002B2CF9AE}" pid="4" name="Version">
    <vt:lpwstr>5.5.5.1</vt:lpwstr>
  </property>
  <property fmtid="{D5CDD505-2E9C-101B-9397-08002B2CF9AE}" pid="5" name="Last edited using">
    <vt:lpwstr>LW 5.6, Build 20080205</vt:lpwstr>
  </property>
  <property fmtid="{D5CDD505-2E9C-101B-9397-08002B2CF9AE}" pid="6" name="Created using">
    <vt:lpwstr>LW 5.6, Build 20080205</vt:lpwstr>
  </property>
  <property fmtid="{D5CDD505-2E9C-101B-9397-08002B2CF9AE}" pid="7" name="_NewReviewCycle">
    <vt:lpwstr/>
  </property>
  <property fmtid="{D5CDD505-2E9C-101B-9397-08002B2CF9AE}" pid="8" name="LWCR Document">
    <vt:lpwstr>True</vt:lpwstr>
  </property>
  <property fmtid="{D5CDD505-2E9C-101B-9397-08002B2CF9AE}" pid="9" name="LWCR Version">
    <vt:lpwstr>1.6.2</vt:lpwstr>
  </property>
</Properties>
</file>