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5AD" w:rsidRDefault="002245AD" w:rsidP="00BB103D">
      <w:pPr>
        <w:jc w:val="center"/>
        <w:rPr>
          <w:sz w:val="40"/>
          <w:szCs w:val="40"/>
        </w:rPr>
      </w:pPr>
    </w:p>
    <w:p w:rsidR="002245AD" w:rsidRDefault="002245AD" w:rsidP="00BB103D">
      <w:pPr>
        <w:jc w:val="center"/>
        <w:rPr>
          <w:sz w:val="40"/>
          <w:szCs w:val="40"/>
        </w:rPr>
      </w:pPr>
    </w:p>
    <w:p w:rsidR="00CA013A" w:rsidRPr="002245AD" w:rsidRDefault="004D78EF" w:rsidP="00BB103D">
      <w:pPr>
        <w:jc w:val="center"/>
        <w:rPr>
          <w:sz w:val="48"/>
          <w:szCs w:val="48"/>
        </w:rPr>
      </w:pPr>
      <w:r>
        <w:rPr>
          <w:sz w:val="48"/>
          <w:szCs w:val="48"/>
        </w:rPr>
        <w:t>Gördülőcsapágy élettartam-számítása</w:t>
      </w:r>
    </w:p>
    <w:p w:rsidR="00511169" w:rsidRDefault="00511169" w:rsidP="00511169">
      <w:pPr>
        <w:jc w:val="center"/>
      </w:pPr>
    </w:p>
    <w:p w:rsidR="00511169" w:rsidRDefault="00511169" w:rsidP="00511169">
      <w:pPr>
        <w:jc w:val="center"/>
      </w:pPr>
    </w:p>
    <w:p w:rsidR="00511169" w:rsidRDefault="00511169" w:rsidP="00511169">
      <w:pPr>
        <w:jc w:val="center"/>
      </w:pPr>
    </w:p>
    <w:p w:rsidR="002245AD" w:rsidRDefault="002245AD" w:rsidP="00511169">
      <w:pPr>
        <w:jc w:val="center"/>
      </w:pPr>
    </w:p>
    <w:p w:rsidR="002245AD" w:rsidRDefault="002245AD" w:rsidP="00511169">
      <w:pPr>
        <w:jc w:val="center"/>
      </w:pPr>
    </w:p>
    <w:p w:rsidR="002245AD" w:rsidRDefault="002245AD" w:rsidP="00511169">
      <w:pPr>
        <w:jc w:val="center"/>
      </w:pPr>
    </w:p>
    <w:p w:rsidR="00511169" w:rsidRPr="002245AD" w:rsidRDefault="00511169" w:rsidP="00511169">
      <w:pPr>
        <w:jc w:val="center"/>
        <w:rPr>
          <w:sz w:val="36"/>
          <w:szCs w:val="36"/>
        </w:rPr>
      </w:pPr>
      <w:r w:rsidRPr="002245AD">
        <w:rPr>
          <w:sz w:val="36"/>
          <w:szCs w:val="36"/>
        </w:rPr>
        <w:t>Gépelemek I.</w:t>
      </w:r>
    </w:p>
    <w:p w:rsidR="00511169" w:rsidRDefault="004D78EF" w:rsidP="00511169">
      <w:pPr>
        <w:jc w:val="center"/>
      </w:pPr>
      <w:r>
        <w:t>4</w:t>
      </w:r>
      <w:r w:rsidR="00511169">
        <w:t>. feladat</w:t>
      </w:r>
    </w:p>
    <w:p w:rsidR="00511169" w:rsidRDefault="00511169" w:rsidP="00511169">
      <w:pPr>
        <w:jc w:val="center"/>
      </w:pPr>
    </w:p>
    <w:p w:rsidR="00511169" w:rsidRDefault="00511169" w:rsidP="00511169">
      <w:pPr>
        <w:jc w:val="center"/>
      </w:pPr>
    </w:p>
    <w:p w:rsidR="00511169" w:rsidRDefault="00511169" w:rsidP="00511169">
      <w:pPr>
        <w:jc w:val="center"/>
        <w:rPr>
          <w:noProof/>
          <w:lang w:eastAsia="hu-HU"/>
        </w:rPr>
      </w:pPr>
    </w:p>
    <w:p w:rsidR="004D78EF" w:rsidRDefault="004D78EF" w:rsidP="00511169">
      <w:pPr>
        <w:jc w:val="center"/>
        <w:rPr>
          <w:noProof/>
          <w:lang w:eastAsia="hu-HU"/>
        </w:rPr>
      </w:pPr>
    </w:p>
    <w:p w:rsidR="004D78EF" w:rsidRDefault="004D78EF" w:rsidP="00511169">
      <w:pPr>
        <w:jc w:val="center"/>
        <w:rPr>
          <w:noProof/>
          <w:lang w:eastAsia="hu-HU"/>
        </w:rPr>
      </w:pPr>
    </w:p>
    <w:p w:rsidR="004D78EF" w:rsidRDefault="004D78EF" w:rsidP="00511169">
      <w:pPr>
        <w:jc w:val="center"/>
        <w:rPr>
          <w:noProof/>
          <w:lang w:eastAsia="hu-HU"/>
        </w:rPr>
      </w:pPr>
    </w:p>
    <w:p w:rsidR="004D78EF" w:rsidRDefault="004D78EF" w:rsidP="00511169">
      <w:pPr>
        <w:jc w:val="center"/>
        <w:rPr>
          <w:noProof/>
          <w:lang w:eastAsia="hu-HU"/>
        </w:rPr>
      </w:pPr>
    </w:p>
    <w:p w:rsidR="004D78EF" w:rsidRDefault="004D78EF" w:rsidP="00511169">
      <w:pPr>
        <w:jc w:val="center"/>
      </w:pPr>
    </w:p>
    <w:p w:rsidR="00511169" w:rsidRDefault="00511169" w:rsidP="00511169">
      <w:pPr>
        <w:jc w:val="center"/>
      </w:pPr>
    </w:p>
    <w:p w:rsidR="00511169" w:rsidRDefault="00511169" w:rsidP="002245AD"/>
    <w:p w:rsidR="00511169" w:rsidRDefault="00511169" w:rsidP="00511169">
      <w:pPr>
        <w:jc w:val="center"/>
      </w:pPr>
    </w:p>
    <w:p w:rsidR="00511169" w:rsidRDefault="00511169" w:rsidP="00511169">
      <w:pPr>
        <w:jc w:val="right"/>
      </w:pPr>
      <w:r>
        <w:t>Kocsi Péter Ákos</w:t>
      </w:r>
    </w:p>
    <w:p w:rsidR="00511169" w:rsidRDefault="00511169" w:rsidP="002245AD">
      <w:pPr>
        <w:ind w:left="7080" w:firstLine="708"/>
        <w:jc w:val="center"/>
      </w:pPr>
      <w:r>
        <w:t>HOJ37</w:t>
      </w:r>
    </w:p>
    <w:p w:rsidR="002245AD" w:rsidRDefault="002245AD" w:rsidP="002245AD">
      <w:pPr>
        <w:ind w:left="7080" w:firstLine="708"/>
        <w:jc w:val="center"/>
      </w:pPr>
      <w:r>
        <w:t>G2BG9</w:t>
      </w:r>
    </w:p>
    <w:p w:rsidR="002E3943" w:rsidRPr="0060600C" w:rsidRDefault="009E6531" w:rsidP="002E3943">
      <w:pPr>
        <w:rPr>
          <w:b/>
          <w:sz w:val="24"/>
          <w:szCs w:val="24"/>
          <w:u w:val="single"/>
        </w:rPr>
      </w:pPr>
      <w:r w:rsidRPr="0060600C">
        <w:rPr>
          <w:b/>
          <w:sz w:val="24"/>
          <w:szCs w:val="24"/>
          <w:u w:val="single"/>
        </w:rPr>
        <w:lastRenderedPageBreak/>
        <w:t>Gör</w:t>
      </w:r>
      <w:r w:rsidR="004D78EF" w:rsidRPr="0060600C">
        <w:rPr>
          <w:b/>
          <w:sz w:val="24"/>
          <w:szCs w:val="24"/>
          <w:u w:val="single"/>
        </w:rPr>
        <w:t>dülőcsapágyazás kétcsapágyas egységekkel</w:t>
      </w:r>
    </w:p>
    <w:p w:rsidR="004D78EF" w:rsidRPr="004E544F" w:rsidRDefault="004D78EF" w:rsidP="002E3943">
      <w:pPr>
        <w:rPr>
          <w:sz w:val="24"/>
          <w:szCs w:val="24"/>
        </w:rPr>
      </w:pPr>
      <w:r w:rsidRPr="004E544F">
        <w:rPr>
          <w:sz w:val="24"/>
          <w:szCs w:val="24"/>
        </w:rPr>
        <w:t>Az SKF gördülőcsapágy-gyártó vállalat kínálatában szerepelnek olyan különleges csapágyeg</w:t>
      </w:r>
      <w:r w:rsidRPr="004E544F">
        <w:rPr>
          <w:sz w:val="24"/>
          <w:szCs w:val="24"/>
        </w:rPr>
        <w:t>y</w:t>
      </w:r>
      <w:r w:rsidRPr="004E544F">
        <w:rPr>
          <w:sz w:val="24"/>
          <w:szCs w:val="24"/>
        </w:rPr>
        <w:t>ségek, amelyeket szerelt állapotban – a csapágyházba beszerelt tengellyel, csapágyakkal, tömítésekkel, k</w:t>
      </w:r>
      <w:r w:rsidRPr="004E544F">
        <w:rPr>
          <w:sz w:val="24"/>
          <w:szCs w:val="24"/>
        </w:rPr>
        <w:t>e</w:t>
      </w:r>
      <w:r w:rsidRPr="004E544F">
        <w:rPr>
          <w:sz w:val="24"/>
          <w:szCs w:val="24"/>
        </w:rPr>
        <w:t>nőanyaggal feltöltve – szállítanak.</w:t>
      </w:r>
    </w:p>
    <w:p w:rsidR="004D78EF" w:rsidRPr="004E544F" w:rsidRDefault="004D78EF" w:rsidP="002E3943">
      <w:pPr>
        <w:rPr>
          <w:sz w:val="24"/>
          <w:szCs w:val="24"/>
        </w:rPr>
      </w:pPr>
      <w:r w:rsidRPr="004E544F">
        <w:rPr>
          <w:sz w:val="24"/>
          <w:szCs w:val="24"/>
        </w:rPr>
        <w:t>A PDN jelölésű házakat eredetileg ventilátor tengelyek csapágyazásához tervezték, olyan esetekre, amikor a ventillátorkerék konzolon helyezkedik el. Később kiderült, hogy más a</w:t>
      </w:r>
      <w:r w:rsidRPr="004E544F">
        <w:rPr>
          <w:sz w:val="24"/>
          <w:szCs w:val="24"/>
        </w:rPr>
        <w:t>l</w:t>
      </w:r>
      <w:r w:rsidRPr="004E544F">
        <w:rPr>
          <w:sz w:val="24"/>
          <w:szCs w:val="24"/>
        </w:rPr>
        <w:t>kalmazásokhoz is kiváló megoldást jelentenek, így centrifugál szivattyúkhoz, körfűrészekhez vagy köszörű orsókhoz.</w:t>
      </w:r>
    </w:p>
    <w:p w:rsidR="004D78EF" w:rsidRPr="004E544F" w:rsidRDefault="004D78EF" w:rsidP="002E3943">
      <w:pPr>
        <w:rPr>
          <w:sz w:val="24"/>
          <w:szCs w:val="24"/>
        </w:rPr>
      </w:pPr>
      <w:r w:rsidRPr="004E544F">
        <w:rPr>
          <w:sz w:val="24"/>
          <w:szCs w:val="24"/>
        </w:rPr>
        <w:t>A PDN kétcsapágyas házak egy darabból készülnek, anyaguk szürke vasöntvény (GG25). Ugyanebből az anyagból készülnek a ház két végén lévő fedelek. A két csapágyfészek me</w:t>
      </w:r>
      <w:r w:rsidRPr="004E544F">
        <w:rPr>
          <w:sz w:val="24"/>
          <w:szCs w:val="24"/>
        </w:rPr>
        <w:t>g</w:t>
      </w:r>
      <w:r w:rsidRPr="004E544F">
        <w:rPr>
          <w:sz w:val="24"/>
          <w:szCs w:val="24"/>
        </w:rPr>
        <w:t>munkálása egy felfogá</w:t>
      </w:r>
      <w:r w:rsidRPr="004E544F">
        <w:rPr>
          <w:sz w:val="24"/>
          <w:szCs w:val="24"/>
        </w:rPr>
        <w:t>s</w:t>
      </w:r>
      <w:r w:rsidRPr="004E544F">
        <w:rPr>
          <w:sz w:val="24"/>
          <w:szCs w:val="24"/>
        </w:rPr>
        <w:t>ban történik, így biztosítva van az egytengelyűségük. A fészekfuratok</w:t>
      </w:r>
      <w:r w:rsidR="00751242" w:rsidRPr="004E544F">
        <w:rPr>
          <w:sz w:val="24"/>
          <w:szCs w:val="24"/>
        </w:rPr>
        <w:t xml:space="preserve"> tűrése G6.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PDN házakba többféle gördülőcsapágy is beépíthető. A két csapágyfészek eltérő széless</w:t>
      </w:r>
      <w:r w:rsidRPr="004E544F">
        <w:rPr>
          <w:rFonts w:cs="TimesNewRoman"/>
          <w:sz w:val="24"/>
          <w:szCs w:val="24"/>
        </w:rPr>
        <w:t>é</w:t>
      </w:r>
      <w:r w:rsidRPr="004E544F">
        <w:rPr>
          <w:rFonts w:cs="TimesNewRoman"/>
          <w:sz w:val="24"/>
          <w:szCs w:val="24"/>
        </w:rPr>
        <w:t>gű, a szélesebb alkalmas két csapágy, pl. párosított csapágyak beszerelésére is. A PDNB jelű alapváltozatot két mélyhornyú golyóscsapággyal szerelik fel. Az egyik csapágy rugós megt</w:t>
      </w:r>
      <w:r w:rsidRPr="004E544F">
        <w:rPr>
          <w:rFonts w:cs="TimesNewRoman"/>
          <w:sz w:val="24"/>
          <w:szCs w:val="24"/>
        </w:rPr>
        <w:t>á</w:t>
      </w:r>
      <w:r w:rsidRPr="004E544F">
        <w:rPr>
          <w:rFonts w:cs="TimesNewRoman"/>
          <w:sz w:val="24"/>
          <w:szCs w:val="24"/>
        </w:rPr>
        <w:t>masztású, ezáltal biztosítható a hézag nélküli vagy egy kis előfeszítéssel történő beépítés. A további megoldásokat ferde hatásvonalú golyóscsapágy, hengergörgős csapágy és mélyho</w:t>
      </w:r>
      <w:r w:rsidRPr="004E544F">
        <w:rPr>
          <w:rFonts w:cs="TimesNewRoman"/>
          <w:sz w:val="24"/>
          <w:szCs w:val="24"/>
        </w:rPr>
        <w:t>r</w:t>
      </w:r>
      <w:r w:rsidRPr="004E544F">
        <w:rPr>
          <w:rFonts w:cs="TimesNewRoman"/>
          <w:sz w:val="24"/>
          <w:szCs w:val="24"/>
        </w:rPr>
        <w:t>nyú golyóscsapágy különféle párosításai alkotják.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PDN házakat az állványra vagy alapra négy csavarral rögzítik. Az oldalfedeleket négy vagy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hat csavarral szerelik a csapágyházhoz. A nagyobb csapágyházakon szemescsavarok találh</w:t>
      </w:r>
      <w:r w:rsidRPr="004E544F">
        <w:rPr>
          <w:rFonts w:cs="TimesNewRoman"/>
          <w:sz w:val="24"/>
          <w:szCs w:val="24"/>
        </w:rPr>
        <w:t>a</w:t>
      </w:r>
      <w:r w:rsidRPr="004E544F">
        <w:rPr>
          <w:rFonts w:cs="TimesNewRoman"/>
          <w:sz w:val="24"/>
          <w:szCs w:val="24"/>
        </w:rPr>
        <w:t>tók a szállítás és a szerelés megkönnyítésére.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csapágyak alatt a csap tűrése k6. A tengely két végén a csatlakozó alkatrészek rögzítéséhez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két reteszt és két tárcsát szállítanak. Az utóbbihoz rögzítő csavarok is tartoznak. A tengely két végén a csap tűrése j6, k6 vagy m6.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PDN csapágyházakat zsírkenésre tervezték, és mindkét végükön zsírzóval rendelkeznek. A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csapágyházban lévő szabályozó tárcsa a felesleges zsírmennyiséget a ház közepére hordja, ahol kellő hely áll rendelkezésre, így elkerülhető, hogy túl sok zsír kerüljön a csapágyakhoz. A csapágyházak kettős tömítéssel rendelkeznek. A PDN 200 sorozatú házaknak réstömítése van, a PDN 300 jelzésű házak nemeztömítésűek. Mindkét esetben a tömítések V-gyűrűkkel</w:t>
      </w:r>
    </w:p>
    <w:p w:rsidR="00751242" w:rsidRPr="004E544F" w:rsidRDefault="00751242" w:rsidP="00751242">
      <w:pPr>
        <w:rPr>
          <w:sz w:val="24"/>
          <w:szCs w:val="24"/>
        </w:rPr>
      </w:pPr>
      <w:r w:rsidRPr="004E544F">
        <w:rPr>
          <w:rFonts w:cs="TimesNewRoman"/>
          <w:sz w:val="24"/>
          <w:szCs w:val="24"/>
        </w:rPr>
        <w:t>vannak kiegészítve.</w:t>
      </w:r>
    </w:p>
    <w:p w:rsidR="002E3943" w:rsidRPr="004E544F" w:rsidRDefault="00751242" w:rsidP="0060600C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E544F">
        <w:rPr>
          <w:rFonts w:cs="TimesNewRoman"/>
          <w:sz w:val="24"/>
          <w:szCs w:val="24"/>
        </w:rPr>
        <w:t>Az alapváltozatba mélyhornyú golyóscsapágyak kerülnek, ekkor acsapágyegység jele PDNB.</w:t>
      </w:r>
    </w:p>
    <w:p w:rsidR="002E3943" w:rsidRPr="0060600C" w:rsidRDefault="00751242" w:rsidP="002E3943">
      <w:pPr>
        <w:rPr>
          <w:b/>
          <w:sz w:val="24"/>
          <w:szCs w:val="24"/>
          <w:u w:val="single"/>
        </w:rPr>
      </w:pPr>
      <w:r w:rsidRPr="0060600C">
        <w:rPr>
          <w:b/>
          <w:sz w:val="24"/>
          <w:szCs w:val="24"/>
          <w:u w:val="single"/>
        </w:rPr>
        <w:t>Műszaki adatok</w:t>
      </w:r>
    </w:p>
    <w:p w:rsidR="00751242" w:rsidRPr="004E544F" w:rsidRDefault="00751242" w:rsidP="0075124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gördülőcsapágyak kenésére az SKF LGMT 2 típusjelű kenőzsírját használják. A zsír az</w:t>
      </w:r>
      <w:r w:rsidR="004E544F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által</w:t>
      </w:r>
      <w:r w:rsidRPr="004E544F">
        <w:rPr>
          <w:rFonts w:cs="TimesNewRoman"/>
          <w:sz w:val="24"/>
          <w:szCs w:val="24"/>
        </w:rPr>
        <w:t>á</w:t>
      </w:r>
      <w:r w:rsidRPr="004E544F">
        <w:rPr>
          <w:rFonts w:cs="TimesNewRoman"/>
          <w:sz w:val="24"/>
          <w:szCs w:val="24"/>
        </w:rPr>
        <w:t>nos gépgyártásban és a járműiparban elterjedten alkalmazott zsírtípus. -30 °C és +120</w:t>
      </w:r>
      <w:r w:rsidR="004E544F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°C h</w:t>
      </w:r>
      <w:r w:rsidRPr="004E544F">
        <w:rPr>
          <w:rFonts w:cs="TimesNewRoman"/>
          <w:sz w:val="24"/>
          <w:szCs w:val="24"/>
        </w:rPr>
        <w:t>ő</w:t>
      </w:r>
      <w:r w:rsidRPr="004E544F">
        <w:rPr>
          <w:rFonts w:cs="TimesNewRoman"/>
          <w:sz w:val="24"/>
          <w:szCs w:val="24"/>
        </w:rPr>
        <w:t xml:space="preserve">mérséklethatárok között használható. Az alapolaj viszkozitása 40 °C-on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ν</w:t>
      </w:r>
      <w:r w:rsidRPr="004E544F">
        <w:rPr>
          <w:rFonts w:cs="TimesNewRoman"/>
          <w:sz w:val="24"/>
          <w:szCs w:val="24"/>
          <w:vertAlign w:val="subscript"/>
        </w:rPr>
        <w:t>40</w:t>
      </w:r>
      <w:r w:rsidRPr="004E544F">
        <w:rPr>
          <w:rFonts w:cs="TimesNewRoman"/>
          <w:sz w:val="24"/>
          <w:szCs w:val="24"/>
        </w:rPr>
        <w:t xml:space="preserve"> = 110</w:t>
      </w:r>
      <w:r w:rsidR="004E544F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mm</w:t>
      </w:r>
      <w:r w:rsidRPr="004E544F">
        <w:rPr>
          <w:rFonts w:cs="TimesNewRoman"/>
          <w:sz w:val="24"/>
          <w:szCs w:val="24"/>
          <w:vertAlign w:val="superscript"/>
        </w:rPr>
        <w:t>2</w:t>
      </w:r>
      <w:r w:rsidRPr="004E544F">
        <w:rPr>
          <w:rFonts w:cs="TimesNewRoman"/>
          <w:sz w:val="24"/>
          <w:szCs w:val="24"/>
        </w:rPr>
        <w:t xml:space="preserve">/s, 100 °C-on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ν</w:t>
      </w:r>
      <w:r w:rsidRPr="004E544F">
        <w:rPr>
          <w:rFonts w:cs="TimesNewRoman"/>
          <w:sz w:val="24"/>
          <w:szCs w:val="24"/>
          <w:vertAlign w:val="subscript"/>
        </w:rPr>
        <w:t xml:space="preserve">100 </w:t>
      </w:r>
      <w:r w:rsidRPr="004E544F">
        <w:rPr>
          <w:rFonts w:cs="TimesNewRoman"/>
          <w:sz w:val="24"/>
          <w:szCs w:val="24"/>
        </w:rPr>
        <w:t>= 11 mm</w:t>
      </w:r>
      <w:r w:rsidRPr="004E544F">
        <w:rPr>
          <w:rFonts w:cs="TimesNewRoman"/>
          <w:sz w:val="24"/>
          <w:szCs w:val="24"/>
          <w:vertAlign w:val="superscript"/>
        </w:rPr>
        <w:t>2</w:t>
      </w:r>
      <w:r w:rsidRPr="004E544F">
        <w:rPr>
          <w:rFonts w:cs="TimesNewRoman"/>
          <w:sz w:val="24"/>
          <w:szCs w:val="24"/>
        </w:rPr>
        <w:t>/s.</w:t>
      </w:r>
    </w:p>
    <w:p w:rsidR="00751242" w:rsidRPr="004E544F" w:rsidRDefault="00751242" w:rsidP="00751242">
      <w:pPr>
        <w:rPr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A gördülőcsapágyak környezetének üzemi hőmérséklete: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T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ü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= 65 °C.</w:t>
      </w:r>
    </w:p>
    <w:p w:rsidR="00751242" w:rsidRPr="004E544F" w:rsidRDefault="00751242" w:rsidP="006F2EF3">
      <w:pPr>
        <w:rPr>
          <w:rFonts w:eastAsia="TimesNewRomanPS-ItalicMT" w:cs="TimesNewRomanPS-ItalicMT"/>
          <w:iCs/>
          <w:sz w:val="24"/>
          <w:szCs w:val="24"/>
        </w:rPr>
      </w:pPr>
    </w:p>
    <w:p w:rsidR="004D78EF" w:rsidRPr="004E544F" w:rsidRDefault="00751242" w:rsidP="006F2EF3">
      <w:pPr>
        <w:rPr>
          <w:rFonts w:eastAsia="TimesNewRomanPS-ItalicMT" w:cs="TimesNewRomanPS-ItalicMT"/>
          <w:iCs/>
          <w:sz w:val="24"/>
          <w:szCs w:val="24"/>
        </w:rPr>
      </w:pPr>
      <w:r w:rsidRPr="004E544F">
        <w:rPr>
          <w:rFonts w:eastAsia="TimesNewRomanPS-ItalicMT" w:cs="TimesNewRomanPS-ItalicMT"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Cs/>
          <w:sz w:val="24"/>
          <w:szCs w:val="24"/>
          <w:vertAlign w:val="subscript"/>
        </w:rPr>
        <w:t>r1</w:t>
      </w:r>
      <w:r w:rsidRPr="004E544F">
        <w:rPr>
          <w:rFonts w:eastAsia="TimesNewRomanPS-ItalicMT" w:cs="TimesNewRomanPS-ItalicMT"/>
          <w:iCs/>
          <w:sz w:val="24"/>
          <w:szCs w:val="24"/>
        </w:rPr>
        <w:t xml:space="preserve">= </w:t>
      </w:r>
      <w:r w:rsidR="004E544F" w:rsidRPr="004E544F">
        <w:rPr>
          <w:rFonts w:eastAsia="TimesNewRomanPS-ItalicMT" w:cs="TimesNewRomanPS-ItalicMT"/>
          <w:iCs/>
          <w:sz w:val="24"/>
          <w:szCs w:val="24"/>
        </w:rPr>
        <w:t>2300 N</w:t>
      </w:r>
    </w:p>
    <w:p w:rsidR="00751242" w:rsidRPr="004E544F" w:rsidRDefault="00751242" w:rsidP="006F2EF3">
      <w:pPr>
        <w:rPr>
          <w:rFonts w:eastAsiaTheme="minorEastAsia"/>
          <w:sz w:val="24"/>
          <w:szCs w:val="24"/>
        </w:rPr>
      </w:pPr>
      <w:r w:rsidRPr="004E544F">
        <w:rPr>
          <w:rFonts w:eastAsia="TimesNewRomanPS-ItalicMT" w:cs="TimesNewRomanPS-ItalicMT"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Cs/>
          <w:sz w:val="24"/>
          <w:szCs w:val="24"/>
          <w:vertAlign w:val="subscript"/>
        </w:rPr>
        <w:t>r2</w:t>
      </w:r>
      <w:r w:rsidRPr="004E544F">
        <w:rPr>
          <w:rFonts w:eastAsia="TimesNewRomanPS-ItalicMT" w:cs="TimesNewRomanPS-ItalicMT"/>
          <w:iCs/>
          <w:sz w:val="24"/>
          <w:szCs w:val="24"/>
        </w:rPr>
        <w:t>=</w:t>
      </w:r>
      <w:r w:rsidR="004E544F">
        <w:rPr>
          <w:rFonts w:eastAsia="TimesNewRomanPS-ItalicMT" w:cs="TimesNewRomanPS-ItalicMT"/>
          <w:iCs/>
          <w:sz w:val="24"/>
          <w:szCs w:val="24"/>
        </w:rPr>
        <w:t xml:space="preserve"> 1840 N</w:t>
      </w:r>
    </w:p>
    <w:p w:rsidR="004D78EF" w:rsidRPr="004E544F" w:rsidRDefault="003D2E8C" w:rsidP="006F2EF3">
      <w:pPr>
        <w:rPr>
          <w:rFonts w:eastAsiaTheme="minorEastAsia"/>
          <w:sz w:val="24"/>
          <w:szCs w:val="24"/>
        </w:rPr>
      </w:pPr>
      <w:r w:rsidRPr="004E544F">
        <w:rPr>
          <w:rFonts w:eastAsia="TimesNewRomanPS-ItalicMT" w:cs="TimesNewRomanPS-ItalicMT"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Cs/>
          <w:sz w:val="24"/>
          <w:szCs w:val="24"/>
          <w:vertAlign w:val="subscript"/>
        </w:rPr>
        <w:t>a</w:t>
      </w:r>
      <w:r w:rsidR="004E544F">
        <w:rPr>
          <w:rFonts w:eastAsia="TimesNewRomanPS-ItalicMT" w:cs="TimesNewRomanPS-ItalicMT"/>
          <w:iCs/>
          <w:sz w:val="24"/>
          <w:szCs w:val="24"/>
        </w:rPr>
        <w:t xml:space="preserve"> = 690 N</w:t>
      </w:r>
    </w:p>
    <w:p w:rsidR="004D78EF" w:rsidRPr="004E544F" w:rsidRDefault="003D2E8C" w:rsidP="006F2EF3">
      <w:pPr>
        <w:rPr>
          <w:rFonts w:eastAsiaTheme="minorEastAsia"/>
          <w:sz w:val="24"/>
          <w:szCs w:val="24"/>
        </w:rPr>
      </w:pPr>
      <w:r w:rsidRPr="004E544F">
        <w:rPr>
          <w:rFonts w:eastAsia="TimesNewRomanPS-ItalicMT" w:cs="TimesNewRomanPS-ItalicMT"/>
          <w:iCs/>
          <w:sz w:val="24"/>
          <w:szCs w:val="24"/>
        </w:rPr>
        <w:t>n</w:t>
      </w:r>
      <w:r w:rsidR="004E544F">
        <w:rPr>
          <w:rFonts w:eastAsia="TimesNewRomanPS-ItalicMT" w:cs="TimesNewRomanPS-ItalicMT"/>
          <w:iCs/>
          <w:sz w:val="24"/>
          <w:szCs w:val="24"/>
        </w:rPr>
        <w:t xml:space="preserve"> = 1500 min</w:t>
      </w:r>
      <w:r w:rsidR="004E544F" w:rsidRPr="004E544F">
        <w:rPr>
          <w:rFonts w:eastAsia="TimesNewRomanPS-ItalicMT" w:cs="TimesNewRomanPS-ItalicMT"/>
          <w:iCs/>
          <w:sz w:val="24"/>
          <w:szCs w:val="24"/>
          <w:vertAlign w:val="superscript"/>
        </w:rPr>
        <w:t>-1</w:t>
      </w:r>
    </w:p>
    <w:p w:rsidR="004D78EF" w:rsidRPr="004E544F" w:rsidRDefault="004D78EF" w:rsidP="006F2EF3">
      <w:pPr>
        <w:rPr>
          <w:rFonts w:eastAsiaTheme="minorEastAsia"/>
          <w:sz w:val="24"/>
          <w:szCs w:val="24"/>
        </w:rPr>
      </w:pPr>
    </w:p>
    <w:p w:rsidR="003D2E8C" w:rsidRDefault="003D2E8C" w:rsidP="003D2E8C">
      <w:pPr>
        <w:autoSpaceDE w:val="0"/>
        <w:autoSpaceDN w:val="0"/>
        <w:adjustRightInd w:val="0"/>
        <w:spacing w:after="0" w:line="240" w:lineRule="auto"/>
        <w:rPr>
          <w:rFonts w:cs="TimesNewRomanPS-BoldMT"/>
          <w:b/>
          <w:bCs/>
          <w:sz w:val="24"/>
          <w:szCs w:val="24"/>
          <w:u w:val="single"/>
        </w:rPr>
      </w:pPr>
      <w:r w:rsidRPr="0060600C">
        <w:rPr>
          <w:rFonts w:cs="TimesNewRomanPS-BoldMT"/>
          <w:b/>
          <w:bCs/>
          <w:sz w:val="24"/>
          <w:szCs w:val="24"/>
          <w:u w:val="single"/>
        </w:rPr>
        <w:t>A csapágyegység terhelése</w:t>
      </w:r>
    </w:p>
    <w:p w:rsidR="0060600C" w:rsidRPr="0060600C" w:rsidRDefault="0060600C" w:rsidP="003D2E8C">
      <w:pPr>
        <w:autoSpaceDE w:val="0"/>
        <w:autoSpaceDN w:val="0"/>
        <w:adjustRightInd w:val="0"/>
        <w:spacing w:after="0" w:line="240" w:lineRule="auto"/>
        <w:rPr>
          <w:rFonts w:cs="TimesNewRomanPS-BoldMT"/>
          <w:b/>
          <w:bCs/>
          <w:sz w:val="24"/>
          <w:szCs w:val="24"/>
          <w:u w:val="single"/>
        </w:rPr>
      </w:pPr>
    </w:p>
    <w:p w:rsidR="003D2E8C" w:rsidRPr="004E544F" w:rsidRDefault="003D2E8C" w:rsidP="003D2E8C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A két helyen gördülőcsapágyakkal megtámasztott tengelyt a két végcsapon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Fr1 </w:t>
      </w:r>
      <w:r w:rsidRPr="004E544F">
        <w:rPr>
          <w:rFonts w:cs="TimesNewRoman"/>
          <w:sz w:val="24"/>
          <w:szCs w:val="24"/>
        </w:rPr>
        <w:t xml:space="preserve">és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Fr2 </w:t>
      </w:r>
      <w:r w:rsidRPr="004E544F">
        <w:rPr>
          <w:rFonts w:cs="TimesNewRoman"/>
          <w:sz w:val="24"/>
          <w:szCs w:val="24"/>
        </w:rPr>
        <w:t>radiális</w:t>
      </w:r>
    </w:p>
    <w:p w:rsidR="003D2E8C" w:rsidRPr="004E544F" w:rsidRDefault="003D2E8C" w:rsidP="003D2E8C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erő, a baloldali tengelyvégen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Fa </w:t>
      </w:r>
      <w:r w:rsidRPr="004E544F">
        <w:rPr>
          <w:rFonts w:cs="TimesNewRoman"/>
          <w:sz w:val="24"/>
          <w:szCs w:val="24"/>
        </w:rPr>
        <w:t xml:space="preserve">axiális erő, valamint az erők között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Mcs </w:t>
      </w:r>
      <w:r w:rsidRPr="004E544F">
        <w:rPr>
          <w:rFonts w:cs="TimesNewRoman"/>
          <w:sz w:val="24"/>
          <w:szCs w:val="24"/>
        </w:rPr>
        <w:t>csavarónyomaték</w:t>
      </w:r>
    </w:p>
    <w:p w:rsidR="00A1239E" w:rsidRPr="004E544F" w:rsidRDefault="003D2E8C" w:rsidP="003D2E8C">
      <w:pPr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terheli . Az axiális erőt a B jelű csapágy veszi fel.</w:t>
      </w:r>
    </w:p>
    <w:p w:rsidR="00801B9A" w:rsidRPr="004E544F" w:rsidRDefault="00801B9A" w:rsidP="00801B9A">
      <w:pPr>
        <w:jc w:val="center"/>
        <w:rPr>
          <w:rFonts w:cs="TimesNewRoman"/>
          <w:sz w:val="24"/>
          <w:szCs w:val="24"/>
        </w:rPr>
      </w:pPr>
      <w:r w:rsidRPr="004E544F">
        <w:rPr>
          <w:rFonts w:cs="TimesNewRoman"/>
          <w:noProof/>
          <w:sz w:val="24"/>
          <w:szCs w:val="24"/>
          <w:lang w:eastAsia="hu-HU"/>
        </w:rPr>
        <w:drawing>
          <wp:inline distT="0" distB="0" distL="0" distR="0">
            <wp:extent cx="4417060" cy="1167765"/>
            <wp:effectExtent l="19050" t="0" r="254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116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csapágyak és a terhelések helyét a csapágyegység, a csapágyak, valamint a tengely</w:t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méreteiből lehet meghatározni.</w:t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  <w:r w:rsidRPr="004E544F">
        <w:rPr>
          <w:rFonts w:cs="TimesNewRoman"/>
          <w:sz w:val="24"/>
          <w:szCs w:val="24"/>
          <w:vertAlign w:val="subscript"/>
        </w:rPr>
        <w:t>0</w:t>
      </w:r>
      <w:r w:rsidRPr="004E544F">
        <w:rPr>
          <w:rFonts w:cs="TimesNewRoman"/>
          <w:sz w:val="24"/>
          <w:szCs w:val="24"/>
        </w:rPr>
        <w:t xml:space="preserve"> 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4E544F">
        <w:rPr>
          <w:rFonts w:cs="TimesNewRoman"/>
          <w:sz w:val="24"/>
          <w:szCs w:val="24"/>
          <w:vertAlign w:val="subscript"/>
        </w:rPr>
        <w:t>4</w:t>
      </w:r>
      <w:r w:rsidRPr="004E544F">
        <w:rPr>
          <w:rFonts w:cs="TimesNewRoman"/>
          <w:sz w:val="24"/>
          <w:szCs w:val="24"/>
        </w:rPr>
        <w:t xml:space="preserve"> +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="00C874D0">
        <w:rPr>
          <w:rFonts w:cs="TimesNewRoman"/>
          <w:sz w:val="24"/>
          <w:szCs w:val="24"/>
        </w:rPr>
        <w:t>/2 = 7 + 19/2 = 16,5 mm</w:t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3D2E8C" w:rsidRPr="004E544F" w:rsidRDefault="00801B9A" w:rsidP="00801B9A">
      <w:pPr>
        <w:rPr>
          <w:rFonts w:cs="TimesNewRoman"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  <w:r w:rsidRPr="004E544F">
        <w:rPr>
          <w:rFonts w:cs="TimesNewRoman"/>
          <w:sz w:val="24"/>
          <w:szCs w:val="24"/>
          <w:vertAlign w:val="subscript"/>
        </w:rPr>
        <w:t>1</w:t>
      </w:r>
      <w:r w:rsidRPr="004E544F">
        <w:rPr>
          <w:rFonts w:cs="TimesNewRoman"/>
          <w:sz w:val="24"/>
          <w:szCs w:val="24"/>
        </w:rPr>
        <w:t xml:space="preserve"> 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 xml:space="preserve">–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  <w:r w:rsidRPr="004E544F">
        <w:rPr>
          <w:rFonts w:cs="TimesNewRoman"/>
          <w:sz w:val="24"/>
          <w:szCs w:val="24"/>
          <w:vertAlign w:val="subscript"/>
        </w:rPr>
        <w:t>0</w:t>
      </w:r>
      <w:r w:rsidRPr="004E544F">
        <w:rPr>
          <w:rFonts w:cs="TimesNewRoman"/>
          <w:sz w:val="24"/>
          <w:szCs w:val="24"/>
        </w:rPr>
        <w:t xml:space="preserve"> –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e</w:t>
      </w:r>
      <w:r w:rsidR="00C874D0">
        <w:rPr>
          <w:rFonts w:cs="TimesNewRoman"/>
          <w:sz w:val="24"/>
          <w:szCs w:val="24"/>
        </w:rPr>
        <w:t>/2 = 101,5 – 16,5 – 25 = 60 mm</w:t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"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  <w:r w:rsidRPr="004E544F">
        <w:rPr>
          <w:rFonts w:eastAsia="TimesNewRomanPS-ItalicMT" w:cs="TimesNewRoman"/>
          <w:sz w:val="24"/>
          <w:szCs w:val="24"/>
          <w:vertAlign w:val="subscript"/>
        </w:rPr>
        <w:t>2</w:t>
      </w:r>
      <w:r w:rsidRPr="004E544F">
        <w:rPr>
          <w:rFonts w:eastAsia="TimesNewRomanPS-ItalicMT" w:cs="TimesNewRoman"/>
          <w:sz w:val="24"/>
          <w:szCs w:val="24"/>
        </w:rPr>
        <w:t xml:space="preserve"> 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"/>
          <w:sz w:val="24"/>
          <w:szCs w:val="24"/>
        </w:rPr>
        <w:t xml:space="preserve">–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  <w:r w:rsidRPr="004E544F">
        <w:rPr>
          <w:rFonts w:eastAsia="TimesNewRomanPS-ItalicMT" w:cs="TimesNewRoman"/>
          <w:sz w:val="24"/>
          <w:szCs w:val="24"/>
          <w:vertAlign w:val="subscript"/>
        </w:rPr>
        <w:t>0</w:t>
      </w:r>
      <w:r w:rsidRPr="004E544F">
        <w:rPr>
          <w:rFonts w:eastAsia="TimesNewRomanPS-ItalicMT" w:cs="TimesNewRoman"/>
          <w:sz w:val="24"/>
          <w:szCs w:val="24"/>
        </w:rPr>
        <w:t xml:space="preserve"> –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e</w:t>
      </w:r>
      <w:r w:rsidR="00C874D0">
        <w:rPr>
          <w:rFonts w:eastAsia="TimesNewRomanPS-ItalicMT" w:cs="TimesNewRoman"/>
          <w:sz w:val="24"/>
          <w:szCs w:val="24"/>
        </w:rPr>
        <w:t>/2 = 100 – 16,5 – 25 = 58,5 mm</w:t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"/>
          <w:sz w:val="24"/>
          <w:szCs w:val="24"/>
        </w:rPr>
      </w:pP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"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"/>
          <w:sz w:val="24"/>
          <w:szCs w:val="24"/>
        </w:rPr>
        <w:t xml:space="preserve">,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b </w:t>
      </w:r>
      <w:r w:rsidRPr="004E544F">
        <w:rPr>
          <w:rFonts w:eastAsia="TimesNewRomanPS-ItalicMT" w:cs="TimesNewRoman"/>
          <w:sz w:val="24"/>
          <w:szCs w:val="24"/>
        </w:rPr>
        <w:t xml:space="preserve">és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B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e </w:t>
      </w:r>
      <w:r w:rsidRPr="004E544F">
        <w:rPr>
          <w:rFonts w:eastAsia="TimesNewRomanPS-ItalicMT" w:cs="TimesNewRoman"/>
          <w:sz w:val="24"/>
          <w:szCs w:val="24"/>
        </w:rPr>
        <w:t xml:space="preserve">a tengely méretei,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4E544F">
        <w:rPr>
          <w:rFonts w:eastAsia="TimesNewRomanPS-ItalicMT" w:cs="TimesNewRoman"/>
          <w:sz w:val="24"/>
          <w:szCs w:val="24"/>
          <w:vertAlign w:val="subscript"/>
        </w:rPr>
        <w:t xml:space="preserve">4 </w:t>
      </w:r>
      <w:r w:rsidRPr="004E544F">
        <w:rPr>
          <w:rFonts w:eastAsia="TimesNewRomanPS-ItalicMT" w:cs="TimesNewRoman"/>
          <w:sz w:val="24"/>
          <w:szCs w:val="24"/>
        </w:rPr>
        <w:t>a zsírmennyiség szabályozó tárcsa szélessége</w:t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"/>
          <w:sz w:val="24"/>
          <w:szCs w:val="24"/>
        </w:rPr>
      </w:pPr>
      <w:r w:rsidRPr="004E544F">
        <w:rPr>
          <w:rFonts w:eastAsia="TimesNewRomanPS-ItalicMT" w:cs="TimesNewRoman"/>
          <w:sz w:val="24"/>
          <w:szCs w:val="24"/>
        </w:rPr>
        <w:t xml:space="preserve">,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B </w:t>
      </w:r>
      <w:r w:rsidRPr="004E544F">
        <w:rPr>
          <w:rFonts w:eastAsia="TimesNewRomanPS-ItalicMT" w:cs="TimesNewRoman"/>
          <w:sz w:val="24"/>
          <w:szCs w:val="24"/>
        </w:rPr>
        <w:t>a csapágyak szélessége.</w:t>
      </w: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"/>
          <w:sz w:val="24"/>
          <w:szCs w:val="24"/>
        </w:rPr>
      </w:pPr>
    </w:p>
    <w:p w:rsidR="00801B9A" w:rsidRPr="0060600C" w:rsidRDefault="00801B9A" w:rsidP="00801B9A">
      <w:pPr>
        <w:rPr>
          <w:rFonts w:eastAsia="TimesNewRomanPS-ItalicMT" w:cs="TimesNewRomanPS-BoldMT"/>
          <w:b/>
          <w:bCs/>
          <w:sz w:val="24"/>
          <w:szCs w:val="24"/>
          <w:u w:val="single"/>
        </w:rPr>
      </w:pPr>
      <w:r w:rsidRPr="0060600C">
        <w:rPr>
          <w:rFonts w:eastAsia="TimesNewRomanPS-ItalicMT" w:cs="TimesNewRomanPS-BoldMT"/>
          <w:b/>
          <w:bCs/>
          <w:sz w:val="24"/>
          <w:szCs w:val="24"/>
          <w:u w:val="single"/>
        </w:rPr>
        <w:t>A csapágyak terhelése</w:t>
      </w:r>
    </w:p>
    <w:p w:rsidR="00801B9A" w:rsidRPr="004E544F" w:rsidRDefault="00801B9A" w:rsidP="00801B9A">
      <w:pPr>
        <w:jc w:val="center"/>
        <w:rPr>
          <w:rFonts w:eastAsiaTheme="minorEastAsia"/>
          <w:sz w:val="24"/>
          <w:szCs w:val="24"/>
        </w:rPr>
      </w:pPr>
      <w:r w:rsidRPr="004E544F">
        <w:rPr>
          <w:rFonts w:eastAsiaTheme="minorEastAsia"/>
          <w:noProof/>
          <w:sz w:val="24"/>
          <w:szCs w:val="24"/>
          <w:lang w:eastAsia="hu-HU"/>
        </w:rPr>
        <w:drawing>
          <wp:inline distT="0" distB="0" distL="0" distR="0">
            <wp:extent cx="3376295" cy="1294130"/>
            <wp:effectExtent l="1905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295" cy="129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B9A" w:rsidRPr="004E544F" w:rsidRDefault="00801B9A" w:rsidP="00801B9A">
      <w:pPr>
        <w:jc w:val="center"/>
        <w:rPr>
          <w:rFonts w:eastAsiaTheme="minorEastAsia"/>
          <w:sz w:val="24"/>
          <w:szCs w:val="24"/>
        </w:rPr>
      </w:pPr>
    </w:p>
    <w:p w:rsidR="00801B9A" w:rsidRPr="004E544F" w:rsidRDefault="00801B9A" w:rsidP="00801B9A">
      <w:pPr>
        <w:jc w:val="center"/>
        <w:rPr>
          <w:rFonts w:eastAsiaTheme="minorEastAsia"/>
          <w:sz w:val="24"/>
          <w:szCs w:val="24"/>
        </w:rPr>
      </w:pPr>
    </w:p>
    <w:p w:rsidR="00801B9A" w:rsidRPr="004E544F" w:rsidRDefault="00801B9A" w:rsidP="00801B9A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gördülőcsapágyak radiális terhelését a csapágyazási helyekre felírt ny</w:t>
      </w:r>
      <w:r w:rsidRPr="004E544F">
        <w:rPr>
          <w:rFonts w:cs="TimesNewRoman"/>
          <w:sz w:val="24"/>
          <w:szCs w:val="24"/>
        </w:rPr>
        <w:t>o</w:t>
      </w:r>
      <w:r w:rsidRPr="004E544F">
        <w:rPr>
          <w:rFonts w:cs="TimesNewRoman"/>
          <w:sz w:val="24"/>
          <w:szCs w:val="24"/>
        </w:rPr>
        <w:t>maték-egyensúlyi egyenletekből lehet meghatározni. A támasztóerők:</w:t>
      </w:r>
    </w:p>
    <w:p w:rsidR="00801B9A" w:rsidRPr="00C874D0" w:rsidRDefault="001359D3" w:rsidP="00801B9A">
      <w:pPr>
        <w:autoSpaceDE w:val="0"/>
        <w:autoSpaceDN w:val="0"/>
        <w:adjustRightInd w:val="0"/>
        <w:spacing w:after="0" w:line="240" w:lineRule="auto"/>
        <w:rPr>
          <w:rFonts w:eastAsiaTheme="minorEastAsia" w:cs="TimesNew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eastAsiaTheme="minorEastAsia" w:hAnsi="Cambria Math"/>
                  <w:sz w:val="24"/>
                  <w:szCs w:val="24"/>
                </w:rPr>
                <m:t>rA</m:t>
              </m:r>
            </m:sub>
          </m:sSub>
          <m:r>
            <w:rPr>
              <w:rFonts w:ascii="Cambria Math" w:eastAsiaTheme="minorEastAsia"/>
              <w:sz w:val="24"/>
              <w:szCs w:val="24"/>
            </w:rPr>
            <m:t>=</m:t>
          </m:r>
          <m:r>
            <w:rPr>
              <w:rFonts w:ascii="Cambria Math" w:eastAsiaTheme="minorEastAsia"/>
              <w:sz w:val="24"/>
              <w:szCs w:val="24"/>
            </w:rPr>
            <m:t xml:space="preserve"> </m:t>
          </m:r>
          <m:f>
            <m:fPr>
              <m:ctrlPr>
                <w:rPr>
                  <w:rFonts w:ascii="Cambria Math" w:eastAsiaTheme="minorEastAsia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r1</m:t>
                  </m:r>
                </m:sub>
              </m:sSub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d>
                <m:d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eastAsiaTheme="minorEastAsia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eastAsiaTheme="minorEastAsia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 xml:space="preserve"> </m:t>
                  </m:r>
                </m:e>
              </m:d>
              <m:r>
                <w:rPr>
                  <w:rFonts w:ascii="Cambria Math" w:eastAsiaTheme="minorEastAsia"/>
                  <w:sz w:val="24"/>
                  <w:szCs w:val="24"/>
                </w:rPr>
                <m:t>–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r2</m:t>
                  </m:r>
                </m:sub>
              </m:sSub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1</m:t>
                  </m:r>
                </m:sub>
              </m:sSub>
            </m:den>
          </m:f>
          <m:r>
            <w:rPr>
              <w:rFonts w:ascii="Cambria Math" w:eastAsiaTheme="minorEastAsia"/>
              <w:sz w:val="24"/>
              <w:szCs w:val="24"/>
            </w:rPr>
            <m:t xml:space="preserve">= </m:t>
          </m:r>
          <m:r>
            <w:rPr>
              <w:rFonts w:ascii="Cambria Math" w:eastAsiaTheme="minorEastAsia"/>
              <w:sz w:val="24"/>
              <w:szCs w:val="24"/>
            </w:rPr>
            <m:t xml:space="preserve"> </m:t>
          </m:r>
          <m:f>
            <m:fPr>
              <m:ctrlPr>
                <w:rPr>
                  <w:rFonts w:ascii="Cambria Math" w:eastAsiaTheme="minorEastAsia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/>
                  <w:sz w:val="24"/>
                  <w:szCs w:val="24"/>
                </w:rPr>
                <m:t xml:space="preserve">2300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d>
                <m:d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 xml:space="preserve"> 60 + 171,5 </m:t>
                  </m:r>
                </m:e>
              </m:d>
              <m:r>
                <w:rPr>
                  <w:rFonts w:ascii="Cambria Math" w:eastAsiaTheme="minorEastAsia"/>
                  <w:sz w:val="24"/>
                  <w:szCs w:val="24"/>
                </w:rPr>
                <m:t>-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1840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 58,5</m:t>
              </m:r>
            </m:num>
            <m:den>
              <m:r>
                <w:rPr>
                  <w:rFonts w:ascii="Cambria Math" w:eastAsiaTheme="minorEastAsia"/>
                  <w:sz w:val="24"/>
                  <w:szCs w:val="24"/>
                </w:rPr>
                <m:t>171,5</m:t>
              </m:r>
            </m:den>
          </m:f>
          <m:r>
            <w:rPr>
              <w:rFonts w:ascii="Cambria Math" w:eastAsiaTheme="minorEastAsia" w:hAnsi="Cambria Math"/>
              <w:sz w:val="24"/>
              <w:szCs w:val="24"/>
            </w:rPr>
            <m:t>=2477,03 N</m:t>
          </m:r>
        </m:oMath>
      </m:oMathPara>
    </w:p>
    <w:p w:rsidR="00C874D0" w:rsidRPr="00AA3296" w:rsidRDefault="00AA3296" w:rsidP="00801B9A">
      <w:pPr>
        <w:autoSpaceDE w:val="0"/>
        <w:autoSpaceDN w:val="0"/>
        <w:adjustRightInd w:val="0"/>
        <w:spacing w:after="0" w:line="240" w:lineRule="auto"/>
        <w:rPr>
          <w:rFonts w:eastAsiaTheme="minorEastAsia" w:cs="TimesNew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eastAsiaTheme="minorEastAsia" w:hAnsi="Cambria Math"/>
                  <w:sz w:val="24"/>
                  <w:szCs w:val="24"/>
                </w:rPr>
                <m:t>r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B</m:t>
              </m:r>
            </m:sub>
          </m:sSub>
          <m:r>
            <w:rPr>
              <w:rFonts w:ascii="Cambria Math" w:eastAsiaTheme="minorEastAsia"/>
              <w:sz w:val="24"/>
              <w:szCs w:val="24"/>
            </w:rPr>
            <m:t>=</m:t>
          </m:r>
          <m:r>
            <w:rPr>
              <w:rFonts w:ascii="Cambria Math" w:eastAsiaTheme="minorEastAsia"/>
              <w:sz w:val="24"/>
              <w:szCs w:val="24"/>
            </w:rPr>
            <m:t xml:space="preserve"> </m:t>
          </m:r>
          <m:f>
            <m:fPr>
              <m:ctrlPr>
                <w:rPr>
                  <w:rFonts w:ascii="Cambria Math" w:eastAsiaTheme="minorEastAsia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r2</m:t>
                  </m:r>
                </m:sub>
              </m:sSub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d>
                <m:d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eastAsiaTheme="minorEastAsia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Theme="minorEastAsia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 xml:space="preserve"> </m:t>
                  </m:r>
                </m:e>
              </m:d>
              <m:r>
                <w:rPr>
                  <w:rFonts w:ascii="Cambria Math" w:eastAsiaTheme="minorEastAsia"/>
                  <w:sz w:val="24"/>
                  <w:szCs w:val="24"/>
                </w:rPr>
                <m:t>–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r1</m:t>
                  </m:r>
                </m:sub>
              </m:sSub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1</m:t>
                  </m:r>
                </m:sub>
              </m:sSub>
            </m:den>
          </m:f>
          <m:r>
            <w:rPr>
              <w:rFonts w:ascii="Cambria Math" w:eastAsiaTheme="minorEastAsia"/>
              <w:sz w:val="24"/>
              <w:szCs w:val="24"/>
            </w:rPr>
            <m:t xml:space="preserve">= </m:t>
          </m:r>
          <m:r>
            <w:rPr>
              <w:rFonts w:ascii="Cambria Math" w:eastAsiaTheme="minorEastAsia"/>
              <w:sz w:val="24"/>
              <w:szCs w:val="24"/>
            </w:rPr>
            <m:t xml:space="preserve"> </m:t>
          </m:r>
          <m:f>
            <m:fPr>
              <m:ctrlPr>
                <w:rPr>
                  <w:rFonts w:ascii="Cambria Math" w:eastAsiaTheme="minorEastAsia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/>
                  <w:sz w:val="24"/>
                  <w:szCs w:val="24"/>
                </w:rPr>
                <m:t xml:space="preserve">1840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d>
                <m:dPr>
                  <m:ctrlPr>
                    <w:rPr>
                      <w:rFonts w:ascii="Cambria Math" w:eastAsiaTheme="minorEastAsia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 xml:space="preserve"> 58,5 + 171,5 </m:t>
                  </m:r>
                </m:e>
              </m:d>
              <m:r>
                <w:rPr>
                  <w:rFonts w:ascii="Cambria Math" w:eastAsiaTheme="minorEastAsia"/>
                  <w:sz w:val="24"/>
                  <w:szCs w:val="24"/>
                </w:rPr>
                <m:t>–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 2300 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∙</m:t>
              </m:r>
              <m:r>
                <w:rPr>
                  <w:rFonts w:ascii="Cambria Math" w:eastAsiaTheme="minorEastAsia"/>
                  <w:sz w:val="24"/>
                  <w:szCs w:val="24"/>
                </w:rPr>
                <m:t xml:space="preserve"> 60</m:t>
              </m:r>
            </m:num>
            <m:den>
              <m:r>
                <w:rPr>
                  <w:rFonts w:ascii="Cambria Math" w:eastAsiaTheme="minorEastAsia"/>
                  <w:sz w:val="24"/>
                  <w:szCs w:val="24"/>
                </w:rPr>
                <m:t>171,5</m:t>
              </m:r>
            </m:den>
          </m:f>
          <m:r>
            <w:rPr>
              <w:rFonts w:ascii="Cambria Math" w:eastAsiaTheme="minorEastAsia"/>
              <w:sz w:val="24"/>
              <w:szCs w:val="24"/>
            </w:rPr>
            <m:t>=1662,97 N</m:t>
          </m:r>
        </m:oMath>
      </m:oMathPara>
    </w:p>
    <w:p w:rsidR="00AA3296" w:rsidRPr="00AA3296" w:rsidRDefault="00AA3296" w:rsidP="00801B9A">
      <w:pPr>
        <w:autoSpaceDE w:val="0"/>
        <w:autoSpaceDN w:val="0"/>
        <w:adjustRightInd w:val="0"/>
        <w:spacing w:after="0" w:line="240" w:lineRule="auto"/>
        <w:rPr>
          <w:rFonts w:eastAsiaTheme="minorEastAsia" w:cs="TimesNewRoman"/>
          <w:sz w:val="24"/>
          <w:szCs w:val="24"/>
        </w:rPr>
      </w:pP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csapágyak egyenértékű dinamikus terhelését kétféle módon lehet meghat</w:t>
      </w:r>
      <w:r w:rsidRPr="004E544F">
        <w:rPr>
          <w:rFonts w:cs="TimesNewRoman"/>
          <w:sz w:val="24"/>
          <w:szCs w:val="24"/>
        </w:rPr>
        <w:t>á</w:t>
      </w:r>
      <w:r w:rsidRPr="004E544F">
        <w:rPr>
          <w:rFonts w:cs="TimesNewRoman"/>
          <w:sz w:val="24"/>
          <w:szCs w:val="24"/>
        </w:rPr>
        <w:t>rozni attól</w:t>
      </w:r>
    </w:p>
    <w:p w:rsidR="00801B9A" w:rsidRPr="004E544F" w:rsidRDefault="009E6531" w:rsidP="009E6531">
      <w:pPr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függően, hogy milyen a terhelések aránya:</w:t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PS-ItalicMT"/>
          <w:i/>
          <w:iCs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4E544F">
        <w:rPr>
          <w:rFonts w:eastAsia="TimesNewRomanPS-ItalicMT" w:cs="TimesNewRoman"/>
          <w:sz w:val="24"/>
          <w:szCs w:val="24"/>
        </w:rPr>
        <w:t xml:space="preserve">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 w:rsidRPr="004E544F">
        <w:rPr>
          <w:rFonts w:eastAsia="TimesNewRomanPS-ItalicMT" w:cs="TimesNewRoman"/>
          <w:sz w:val="24"/>
          <w:szCs w:val="24"/>
        </w:rPr>
        <w:t xml:space="preserve">, ha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"/>
          <w:sz w:val="24"/>
          <w:szCs w:val="24"/>
        </w:rPr>
        <w:t xml:space="preserve">≤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</w:p>
    <w:p w:rsidR="009E6531" w:rsidRPr="004E544F" w:rsidRDefault="009E6531" w:rsidP="009E6531">
      <w:pPr>
        <w:rPr>
          <w:rFonts w:eastAsiaTheme="minorEastAsia"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4E544F">
        <w:rPr>
          <w:rFonts w:eastAsia="SymbolMT" w:cs="SymbolMT"/>
          <w:sz w:val="24"/>
          <w:szCs w:val="24"/>
        </w:rPr>
        <w:t xml:space="preserve">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X 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r </w:t>
      </w:r>
      <w:r w:rsidRPr="004E544F">
        <w:rPr>
          <w:rFonts w:eastAsia="SymbolMT" w:cs="SymbolMT"/>
          <w:sz w:val="24"/>
          <w:szCs w:val="24"/>
        </w:rPr>
        <w:t xml:space="preserve">+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Y</w:t>
      </w:r>
      <w:r w:rsidR="00022DA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022DA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"/>
          <w:sz w:val="24"/>
          <w:szCs w:val="24"/>
        </w:rPr>
        <w:t xml:space="preserve">ha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"/>
          <w:sz w:val="24"/>
          <w:szCs w:val="24"/>
        </w:rPr>
        <w:t xml:space="preserve">&gt;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  <w:r w:rsidRPr="004E544F">
        <w:rPr>
          <w:rFonts w:eastAsia="TimesNewRomanPS-ItalicMT" w:cs="TimesNewRoman"/>
          <w:sz w:val="24"/>
          <w:szCs w:val="24"/>
        </w:rPr>
        <w:t>.</w:t>
      </w:r>
    </w:p>
    <w:p w:rsidR="00AA3296" w:rsidRDefault="00AA3296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A csapágy dinamikus alapterhelése: C = 29,6 kN</w:t>
      </w:r>
    </w:p>
    <w:p w:rsidR="00AA3296" w:rsidRDefault="00AA3296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A csapágy statikus alapterhelése: </w:t>
      </w:r>
      <w:r w:rsidRPr="00AA3296">
        <w:rPr>
          <w:rFonts w:eastAsia="TimesNewRomanPS-ItalicMT" w:cs="TimesNewRomanPS-ItalicMT"/>
          <w:i/>
          <w:iCs/>
          <w:sz w:val="24"/>
          <w:szCs w:val="24"/>
        </w:rPr>
        <w:t>C</w:t>
      </w:r>
      <w:r w:rsidRPr="00AA3296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0</w:t>
      </w:r>
      <w:r>
        <w:rPr>
          <w:rFonts w:cs="TimesNewRoman"/>
          <w:sz w:val="24"/>
          <w:szCs w:val="24"/>
        </w:rPr>
        <w:t xml:space="preserve"> = 16 kN</w:t>
      </w:r>
    </w:p>
    <w:p w:rsidR="00AA3296" w:rsidRPr="00AA3296" w:rsidRDefault="00AA3296" w:rsidP="00AA3296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AA3296">
        <w:rPr>
          <w:rFonts w:cs="TimesNewRoman"/>
          <w:sz w:val="24"/>
          <w:szCs w:val="24"/>
        </w:rPr>
        <w:t>A pont</w:t>
      </w:r>
      <w:r>
        <w:rPr>
          <w:rFonts w:cs="TimesNewRoman"/>
          <w:sz w:val="24"/>
          <w:szCs w:val="24"/>
        </w:rPr>
        <w:t>ban</w:t>
      </w:r>
    </w:p>
    <w:p w:rsidR="00AA3296" w:rsidRDefault="00AA3296" w:rsidP="00AA3296">
      <w:pPr>
        <w:autoSpaceDE w:val="0"/>
        <w:autoSpaceDN w:val="0"/>
        <w:adjustRightInd w:val="0"/>
        <w:spacing w:after="0" w:line="240" w:lineRule="auto"/>
        <w:ind w:firstLine="405"/>
        <w:rPr>
          <w:rFonts w:eastAsia="TimesNewRomanPS-ItalicMT" w:cs="TimesNewRomanPS-ItalicMT"/>
          <w:iCs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4E544F">
        <w:rPr>
          <w:rFonts w:eastAsia="TimesNewRomanPS-ItalicMT" w:cs="TimesNewRoman"/>
          <w:sz w:val="24"/>
          <w:szCs w:val="24"/>
        </w:rPr>
        <w:t xml:space="preserve">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A </w:t>
      </w:r>
      <w:r>
        <w:rPr>
          <w:rFonts w:eastAsia="TimesNewRomanPS-ItalicMT" w:cs="TimesNewRomanPS-ItalicMT"/>
          <w:iCs/>
          <w:sz w:val="24"/>
          <w:szCs w:val="24"/>
        </w:rPr>
        <w:t>→ P = 2477,03 N</w:t>
      </w:r>
    </w:p>
    <w:p w:rsidR="00AA3296" w:rsidRDefault="00AA3296" w:rsidP="00AA3296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B pontban</w:t>
      </w:r>
    </w:p>
    <w:p w:rsidR="00AA3296" w:rsidRDefault="00AA3296" w:rsidP="00AA3296">
      <w:pPr>
        <w:autoSpaceDE w:val="0"/>
        <w:autoSpaceDN w:val="0"/>
        <w:adjustRightInd w:val="0"/>
        <w:spacing w:after="0" w:line="240" w:lineRule="auto"/>
        <w:ind w:left="405"/>
        <w:rPr>
          <w:rFonts w:eastAsia="TimesNewRomanPS-ItalicMT" w:cs="TimesNewRomanPS-ItalicMT"/>
          <w:i/>
          <w:iCs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"/>
          <w:sz w:val="24"/>
          <w:szCs w:val="24"/>
        </w:rPr>
        <w:t xml:space="preserve">≤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</w:p>
    <w:p w:rsidR="00AA3296" w:rsidRDefault="00AA3296" w:rsidP="00AA3296">
      <w:pPr>
        <w:autoSpaceDE w:val="0"/>
        <w:autoSpaceDN w:val="0"/>
        <w:adjustRightInd w:val="0"/>
        <w:spacing w:after="0" w:line="240" w:lineRule="auto"/>
        <w:ind w:left="405"/>
        <w:rPr>
          <w:rFonts w:eastAsia="TimesNewRomanPS-ItalicMT" w:cs="TimesNewRomanPS-ItalicMT"/>
          <w:i/>
          <w:iCs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"/>
          <w:sz w:val="24"/>
          <w:szCs w:val="24"/>
        </w:rPr>
        <w:t xml:space="preserve">&gt;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</w:p>
    <w:p w:rsidR="00AA3296" w:rsidRPr="00AA3296" w:rsidRDefault="00AA3296" w:rsidP="00AA3296">
      <w:pPr>
        <w:autoSpaceDE w:val="0"/>
        <w:autoSpaceDN w:val="0"/>
        <w:adjustRightInd w:val="0"/>
        <w:spacing w:after="0" w:line="240" w:lineRule="auto"/>
        <w:ind w:left="405"/>
        <w:rPr>
          <w:rFonts w:eastAsia="TimesNewRomanPS-ItalicMT" w:cs="TimesNewRomanPS-ItalicMT"/>
          <w:i/>
          <w:iCs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C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0</w:t>
      </w:r>
      <w:r>
        <w:rPr>
          <w:rFonts w:eastAsia="TimesNewRomanPS-ItalicMT" w:cs="TimesNewRomanPS-ItalicMT"/>
          <w:i/>
          <w:iCs/>
          <w:sz w:val="24"/>
          <w:szCs w:val="24"/>
        </w:rPr>
        <w:t xml:space="preserve"> = 690 N / 16000 N  = 0,043 → e = 0,24</w:t>
      </w:r>
    </w:p>
    <w:p w:rsidR="00AA3296" w:rsidRPr="00022DAF" w:rsidRDefault="00022DAF" w:rsidP="00AA3296">
      <w:pPr>
        <w:autoSpaceDE w:val="0"/>
        <w:autoSpaceDN w:val="0"/>
        <w:adjustRightInd w:val="0"/>
        <w:spacing w:after="0" w:line="240" w:lineRule="auto"/>
        <w:ind w:left="405"/>
        <w:rPr>
          <w:rFonts w:cs="TimesNewRoman"/>
          <w:sz w:val="24"/>
          <w:szCs w:val="24"/>
        </w:rPr>
      </w:pP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>
        <w:rPr>
          <w:rFonts w:eastAsia="TimesNewRomanPS-ItalicMT" w:cs="TimesNewRomanPS-ItalicMT"/>
          <w:i/>
          <w:iCs/>
          <w:sz w:val="24"/>
          <w:szCs w:val="24"/>
        </w:rPr>
        <w:t xml:space="preserve"> = 690 N / 1662,97 N = 0,41</w:t>
      </w:r>
    </w:p>
    <w:p w:rsidR="00022DAF" w:rsidRDefault="00022DAF" w:rsidP="00022DAF">
      <w:pPr>
        <w:autoSpaceDE w:val="0"/>
        <w:autoSpaceDN w:val="0"/>
        <w:adjustRightInd w:val="0"/>
        <w:spacing w:after="0" w:line="240" w:lineRule="auto"/>
        <w:ind w:left="2124" w:firstLine="708"/>
        <w:rPr>
          <w:rFonts w:cs="TimesNewRoman"/>
          <w:sz w:val="24"/>
          <w:szCs w:val="24"/>
        </w:rPr>
      </w:pPr>
      <w:r>
        <w:rPr>
          <w:rFonts w:ascii="Cambria Math" w:hAnsi="Cambria Math" w:cs="TimesNewRoman"/>
          <w:sz w:val="24"/>
          <w:szCs w:val="24"/>
        </w:rPr>
        <w:t xml:space="preserve">⇓ </w:t>
      </w:r>
    </w:p>
    <w:p w:rsidR="00022DAF" w:rsidRDefault="00022DAF" w:rsidP="00022DAF">
      <w:pPr>
        <w:autoSpaceDE w:val="0"/>
        <w:autoSpaceDN w:val="0"/>
        <w:adjustRightInd w:val="0"/>
        <w:spacing w:after="0" w:line="240" w:lineRule="auto"/>
        <w:ind w:left="2124"/>
        <w:rPr>
          <w:rFonts w:cs="TimesNewRoman"/>
          <w:sz w:val="24"/>
          <w:szCs w:val="24"/>
        </w:rPr>
      </w:pPr>
      <w:r>
        <w:rPr>
          <w:rFonts w:eastAsia="TimesNewRomanPS-ItalicMT" w:cs="TimesNewRomanPS-ItalicMT"/>
          <w:i/>
          <w:iCs/>
          <w:sz w:val="24"/>
          <w:szCs w:val="24"/>
        </w:rPr>
        <w:t xml:space="preserve">      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eastAsia="TimesNewRomanPS-ItalicMT"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"/>
          <w:sz w:val="24"/>
          <w:szCs w:val="24"/>
        </w:rPr>
        <w:t xml:space="preserve">&gt;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e</w:t>
      </w:r>
    </w:p>
    <w:p w:rsidR="00022DAF" w:rsidRPr="00022DAF" w:rsidRDefault="00022DAF" w:rsidP="00022DA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eastAsia="TimesNewRomanPS-ItalicMT" w:cs="TimesNewRomanPS-ItalicMT"/>
          <w:i/>
          <w:iCs/>
          <w:sz w:val="24"/>
          <w:szCs w:val="24"/>
        </w:rPr>
        <w:t xml:space="preserve">      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4E544F">
        <w:rPr>
          <w:rFonts w:eastAsia="SymbolMT" w:cs="SymbolMT"/>
          <w:sz w:val="24"/>
          <w:szCs w:val="24"/>
        </w:rPr>
        <w:t xml:space="preserve">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X 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r </w:t>
      </w:r>
      <w:r w:rsidRPr="004E544F">
        <w:rPr>
          <w:rFonts w:eastAsia="SymbolMT" w:cs="SymbolMT"/>
          <w:sz w:val="24"/>
          <w:szCs w:val="24"/>
        </w:rPr>
        <w:t xml:space="preserve">+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Y</w:t>
      </w:r>
      <w:r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022DA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 </w:t>
      </w:r>
      <w:r>
        <w:rPr>
          <w:rFonts w:cs="TimesNewRoman"/>
          <w:sz w:val="24"/>
          <w:szCs w:val="24"/>
        </w:rPr>
        <w:t xml:space="preserve">= </w:t>
      </w:r>
      <m:oMath>
        <m:r>
          <w:rPr>
            <w:rFonts w:ascii="Cambria Math" w:hAnsi="Cambria Math" w:cs="TimesNewRoman"/>
            <w:sz w:val="24"/>
            <w:szCs w:val="24"/>
          </w:rPr>
          <m:t>0,56∙1662,97+1,8 ∙690=2173,26</m:t>
        </m:r>
      </m:oMath>
    </w:p>
    <w:p w:rsidR="00022DAF" w:rsidRDefault="00022DAF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AA3296">
        <w:rPr>
          <w:rFonts w:cs="TimesNewRoman"/>
          <w:sz w:val="24"/>
          <w:szCs w:val="24"/>
        </w:rPr>
        <w:t>Az</w:t>
      </w:r>
      <w:r w:rsidRPr="004E544F">
        <w:rPr>
          <w:rFonts w:cs="TimesNewRoman"/>
          <w:sz w:val="24"/>
          <w:szCs w:val="24"/>
        </w:rPr>
        <w:t xml:space="preserve"> összefüggésekben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X </w:t>
      </w:r>
      <w:r w:rsidR="00AA3296" w:rsidRPr="00022DAF">
        <w:rPr>
          <w:rFonts w:eastAsia="TimesNewRomanPS-ItalicMT" w:cs="TimesNewRomanPS-ItalicMT"/>
          <w:i/>
          <w:iCs/>
          <w:sz w:val="24"/>
          <w:szCs w:val="24"/>
        </w:rPr>
        <w:t xml:space="preserve">- </w:t>
      </w:r>
      <w:r w:rsidRPr="00022DAF">
        <w:rPr>
          <w:rFonts w:cs="TimesNewRoman"/>
          <w:sz w:val="24"/>
          <w:szCs w:val="24"/>
        </w:rPr>
        <w:t>a radiális terhelés tényezője,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Y </w:t>
      </w:r>
      <w:r w:rsidR="00AA3296" w:rsidRPr="00022DAF">
        <w:rPr>
          <w:rFonts w:eastAsia="TimesNewRomanPS-ItalicMT" w:cs="TimesNewRomanPS-ItalicMT"/>
          <w:i/>
          <w:iCs/>
          <w:sz w:val="24"/>
          <w:szCs w:val="24"/>
        </w:rPr>
        <w:t xml:space="preserve">- </w:t>
      </w:r>
      <w:r w:rsidRPr="00022DAF">
        <w:rPr>
          <w:rFonts w:cs="TimesNewRoman"/>
          <w:sz w:val="24"/>
          <w:szCs w:val="24"/>
        </w:rPr>
        <w:t>az axiális terhelés tényezője,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022DA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="00AA3296" w:rsidRPr="00022DAF">
        <w:rPr>
          <w:rFonts w:eastAsia="TimesNewRomanPS-ItalicMT" w:cs="TimesNewRomanPS-ItalicMT"/>
          <w:i/>
          <w:iCs/>
          <w:sz w:val="24"/>
          <w:szCs w:val="24"/>
        </w:rPr>
        <w:t xml:space="preserve">- </w:t>
      </w:r>
      <w:r w:rsidRPr="00022DAF">
        <w:rPr>
          <w:rFonts w:cs="TimesNewRoman"/>
          <w:sz w:val="24"/>
          <w:szCs w:val="24"/>
        </w:rPr>
        <w:t>a csapágy radiális terhelése, N;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022DA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="00AA3296" w:rsidRPr="00022DAF">
        <w:rPr>
          <w:rFonts w:eastAsia="TimesNewRomanPS-ItalicMT" w:cs="TimesNewRomanPS-ItalicMT"/>
          <w:i/>
          <w:iCs/>
          <w:sz w:val="24"/>
          <w:szCs w:val="24"/>
        </w:rPr>
        <w:t xml:space="preserve">- </w:t>
      </w:r>
      <w:r w:rsidRPr="00022DAF">
        <w:rPr>
          <w:rFonts w:cs="TimesNewRoman"/>
          <w:sz w:val="24"/>
          <w:szCs w:val="24"/>
        </w:rPr>
        <w:t>a csapágy axiális terhelése, N;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e </w:t>
      </w:r>
      <w:r w:rsidR="00AA3296" w:rsidRPr="00022DAF">
        <w:rPr>
          <w:rFonts w:eastAsia="TimesNewRomanPS-ItalicMT" w:cs="TimesNewRomanPS-ItalicMT"/>
          <w:i/>
          <w:iCs/>
          <w:sz w:val="24"/>
          <w:szCs w:val="24"/>
        </w:rPr>
        <w:t xml:space="preserve">- </w:t>
      </w:r>
      <w:r w:rsidRPr="00022DAF">
        <w:rPr>
          <w:rFonts w:cs="TimesNewRoman"/>
          <w:sz w:val="24"/>
          <w:szCs w:val="24"/>
        </w:rPr>
        <w:t>a terhelési viszonyszám tényezője.</w:t>
      </w:r>
    </w:p>
    <w:p w:rsidR="00801B9A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A terhelést befolyásoló tényezők az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C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0 </w:t>
      </w:r>
      <w:r w:rsidRPr="004E544F">
        <w:rPr>
          <w:rFonts w:cs="TimesNewRoman"/>
          <w:sz w:val="24"/>
          <w:szCs w:val="24"/>
        </w:rPr>
        <w:t xml:space="preserve">hányados függvényei.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C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0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a csapágy statikus ala</w:t>
      </w:r>
      <w:r w:rsidRPr="004E544F">
        <w:rPr>
          <w:rFonts w:cs="TimesNewRoman"/>
          <w:sz w:val="24"/>
          <w:szCs w:val="24"/>
        </w:rPr>
        <w:t>p</w:t>
      </w:r>
      <w:r w:rsidRPr="004E544F">
        <w:rPr>
          <w:rFonts w:cs="TimesNewRoman"/>
          <w:sz w:val="24"/>
          <w:szCs w:val="24"/>
        </w:rPr>
        <w:t>terhelése.</w:t>
      </w:r>
    </w:p>
    <w:p w:rsidR="009E6531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Az A jelű csapágyat csak radiális erő terheli, ezért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P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A </w:t>
      </w:r>
      <w:r w:rsidRPr="004E544F">
        <w:rPr>
          <w:rFonts w:cs="TimesNewRoman"/>
          <w:sz w:val="24"/>
          <w:szCs w:val="24"/>
        </w:rPr>
        <w:t xml:space="preserve">=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rA</w:t>
      </w:r>
      <w:r w:rsidRPr="004E544F">
        <w:rPr>
          <w:rFonts w:cs="TimesNewRoman"/>
          <w:sz w:val="24"/>
          <w:szCs w:val="24"/>
        </w:rPr>
        <w:t>.</w:t>
      </w:r>
      <w:r w:rsidR="00022DAF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Mivel az axiális erőt a B jelű csa</w:t>
      </w:r>
      <w:r w:rsidRPr="004E544F">
        <w:rPr>
          <w:rFonts w:cs="TimesNewRoman"/>
          <w:sz w:val="24"/>
          <w:szCs w:val="24"/>
        </w:rPr>
        <w:t>p</w:t>
      </w:r>
      <w:r w:rsidRPr="004E544F">
        <w:rPr>
          <w:rFonts w:cs="TimesNewRoman"/>
          <w:sz w:val="24"/>
          <w:szCs w:val="24"/>
        </w:rPr>
        <w:t xml:space="preserve">ágy veszi fel, meg kell vizsgálni az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a</w:t>
      </w:r>
      <w:r w:rsidRPr="004E544F">
        <w:rPr>
          <w:rFonts w:cs="TimesNewRoman"/>
          <w:sz w:val="24"/>
          <w:szCs w:val="24"/>
        </w:rPr>
        <w:t>/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F</w:t>
      </w:r>
      <w:r w:rsidRPr="004E544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 xml:space="preserve">rB </w:t>
      </w:r>
      <w:r w:rsidRPr="004E544F">
        <w:rPr>
          <w:rFonts w:cs="TimesNewRoman"/>
          <w:sz w:val="24"/>
          <w:szCs w:val="24"/>
        </w:rPr>
        <w:t>arányt. Ennek</w:t>
      </w:r>
      <w:r w:rsidR="00022DAF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értéke dönti el az egyenértékű dinam</w:t>
      </w:r>
      <w:r w:rsidRPr="004E544F">
        <w:rPr>
          <w:rFonts w:cs="TimesNewRoman"/>
          <w:sz w:val="24"/>
          <w:szCs w:val="24"/>
        </w:rPr>
        <w:t>i</w:t>
      </w:r>
      <w:r w:rsidRPr="004E544F">
        <w:rPr>
          <w:rFonts w:cs="TimesNewRoman"/>
          <w:sz w:val="24"/>
          <w:szCs w:val="24"/>
        </w:rPr>
        <w:t>kus terhelés számításának módját.</w:t>
      </w:r>
    </w:p>
    <w:p w:rsidR="00022DAF" w:rsidRPr="004E544F" w:rsidRDefault="00022DAF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E6531" w:rsidRPr="0060600C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PS-BoldMT"/>
          <w:b/>
          <w:bCs/>
          <w:sz w:val="24"/>
          <w:szCs w:val="24"/>
          <w:u w:val="single"/>
        </w:rPr>
      </w:pPr>
      <w:r w:rsidRPr="0060600C">
        <w:rPr>
          <w:rFonts w:cs="TimesNewRomanPS-BoldMT"/>
          <w:b/>
          <w:bCs/>
          <w:sz w:val="24"/>
          <w:szCs w:val="24"/>
          <w:u w:val="single"/>
        </w:rPr>
        <w:t>A csapágyak élettartama</w:t>
      </w:r>
    </w:p>
    <w:p w:rsidR="00022DAF" w:rsidRPr="004E544F" w:rsidRDefault="00022DAF" w:rsidP="009E6531">
      <w:pPr>
        <w:autoSpaceDE w:val="0"/>
        <w:autoSpaceDN w:val="0"/>
        <w:adjustRightInd w:val="0"/>
        <w:spacing w:after="0" w:line="240" w:lineRule="auto"/>
        <w:rPr>
          <w:rFonts w:cs="TimesNewRomanPS-BoldMT"/>
          <w:b/>
          <w:bCs/>
          <w:sz w:val="24"/>
          <w:szCs w:val="24"/>
        </w:rPr>
      </w:pPr>
    </w:p>
    <w:p w:rsidR="00022DAF" w:rsidRPr="0060600C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  <w:u w:val="single"/>
        </w:rPr>
      </w:pPr>
      <w:r w:rsidRPr="0060600C">
        <w:rPr>
          <w:rFonts w:cs="TimesNewRoman"/>
          <w:sz w:val="24"/>
          <w:szCs w:val="24"/>
          <w:u w:val="single"/>
        </w:rPr>
        <w:t>A g</w:t>
      </w:r>
      <w:r w:rsidR="0060600C" w:rsidRPr="0060600C">
        <w:rPr>
          <w:rFonts w:cs="TimesNewRoman"/>
          <w:sz w:val="24"/>
          <w:szCs w:val="24"/>
          <w:u w:val="single"/>
        </w:rPr>
        <w:t>ördülőcsapágyak alapélettartama az A pontban:</w:t>
      </w:r>
    </w:p>
    <w:p w:rsidR="00022DAF" w:rsidRDefault="00022DAF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E6531" w:rsidRDefault="00022DAF" w:rsidP="00022DAF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 w:cs="TimesNew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New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New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 w:cs="TimesNewRoman"/>
                <w:sz w:val="24"/>
                <w:szCs w:val="24"/>
              </w:rPr>
              <m:t>10</m:t>
            </m:r>
          </m:sub>
        </m:sSub>
        <m:r>
          <w:rPr>
            <w:rFonts w:ascii="Cambria Math" w:hAnsi="Cambria Math" w:cs="TimesNewRoman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hAnsi="Cambria Math" w:cs="TimesNew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NewRoman"/>
                <w:sz w:val="24"/>
                <w:szCs w:val="24"/>
              </w:rPr>
              <m:t>(</m:t>
            </m:r>
            <m:f>
              <m:fPr>
                <m:ctrlPr>
                  <w:rPr>
                    <w:rFonts w:ascii="Cambria Math" w:hAnsi="Cambria Math" w:cs="TimesNew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NewRoman"/>
                    <w:sz w:val="24"/>
                    <w:szCs w:val="24"/>
                  </w:rPr>
                  <m:t>c</m:t>
                </m:r>
              </m:num>
              <m:den>
                <m:r>
                  <w:rPr>
                    <w:rFonts w:ascii="Cambria Math" w:hAnsi="Cambria Math" w:cs="TimesNewRoman"/>
                    <w:sz w:val="24"/>
                    <w:szCs w:val="24"/>
                  </w:rPr>
                  <m:t>p</m:t>
                </m:r>
              </m:den>
            </m:f>
            <m:r>
              <w:rPr>
                <w:rFonts w:ascii="Cambria Math" w:hAnsi="Cambria Math" w:cs="TimesNewRoman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 w:cs="TimesNewRoman"/>
                <w:sz w:val="24"/>
                <w:szCs w:val="24"/>
              </w:rPr>
              <m:t>p</m:t>
            </m:r>
          </m:sup>
        </m:sSup>
      </m:oMath>
      <w:r>
        <w:rPr>
          <w:rFonts w:eastAsiaTheme="minorEastAsia" w:cs="TimesNewRoman"/>
          <w:sz w:val="24"/>
          <w:szCs w:val="24"/>
        </w:rPr>
        <w:t xml:space="preserve"> = (29600 / 2173,26)</w:t>
      </w:r>
      <w:r w:rsidRPr="00022DAF">
        <w:rPr>
          <w:rFonts w:eastAsiaTheme="minorEastAsia" w:cs="TimesNewRoman"/>
          <w:sz w:val="24"/>
          <w:szCs w:val="24"/>
          <w:vertAlign w:val="superscript"/>
        </w:rPr>
        <w:t>3</w:t>
      </w:r>
      <w:r>
        <w:rPr>
          <w:rFonts w:eastAsiaTheme="minorEastAsia" w:cs="TimesNewRoman"/>
          <w:sz w:val="24"/>
          <w:szCs w:val="24"/>
        </w:rPr>
        <w:t xml:space="preserve"> = 2526,62</w:t>
      </w:r>
    </w:p>
    <w:p w:rsidR="00022DAF" w:rsidRPr="00022DAF" w:rsidRDefault="00022DAF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lastRenderedPageBreak/>
        <w:t xml:space="preserve">ahol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4E544F">
        <w:rPr>
          <w:rFonts w:cs="TimesNewRoman"/>
          <w:sz w:val="24"/>
          <w:szCs w:val="24"/>
          <w:vertAlign w:val="subscript"/>
        </w:rPr>
        <w:t>10</w:t>
      </w:r>
      <w:r w:rsidRPr="004E544F">
        <w:rPr>
          <w:rFonts w:cs="TimesNewRoman"/>
          <w:sz w:val="24"/>
          <w:szCs w:val="24"/>
        </w:rPr>
        <w:t xml:space="preserve"> az alapélettartam, millió körülfordulás;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C </w:t>
      </w:r>
      <w:r w:rsidRPr="00022DAF">
        <w:rPr>
          <w:rFonts w:cs="TimesNewRoman"/>
          <w:sz w:val="24"/>
          <w:szCs w:val="24"/>
        </w:rPr>
        <w:t>a dinamikus alapterhelés, N;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022DAF">
        <w:rPr>
          <w:rFonts w:cs="TimesNewRoman"/>
          <w:sz w:val="24"/>
          <w:szCs w:val="24"/>
        </w:rPr>
        <w:t>a dinamikus egyenértékű terhelés, N;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022DAF">
        <w:rPr>
          <w:rFonts w:cs="TimesNewRoman"/>
          <w:sz w:val="24"/>
          <w:szCs w:val="24"/>
        </w:rPr>
        <w:t xml:space="preserve">az élettartam kitevő, mely golyóscsapágyakra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022DAF">
        <w:rPr>
          <w:rFonts w:cs="TimesNewRoman"/>
          <w:sz w:val="24"/>
          <w:szCs w:val="24"/>
        </w:rPr>
        <w:t xml:space="preserve">= 3, görgőscsapágyakra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p </w:t>
      </w:r>
      <w:r w:rsidRPr="00022DAF">
        <w:rPr>
          <w:rFonts w:cs="TimesNewRoman"/>
          <w:sz w:val="24"/>
          <w:szCs w:val="24"/>
        </w:rPr>
        <w:t>= 10/3.</w:t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Az üzemórákban számított élettartam:</w:t>
      </w:r>
    </w:p>
    <w:p w:rsidR="009E6531" w:rsidRPr="004E544F" w:rsidRDefault="00022DAF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New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NewRoman"/>
                  <w:sz w:val="24"/>
                  <w:szCs w:val="24"/>
                </w:rPr>
                <m:t>10</m:t>
              </m:r>
              <m:r>
                <w:rPr>
                  <w:rFonts w:ascii="Cambria Math" w:hAnsi="Cambria Math" w:cs="TimesNewRoman"/>
                  <w:sz w:val="24"/>
                  <w:szCs w:val="24"/>
                </w:rPr>
                <m:t>h</m:t>
              </m:r>
            </m:sub>
          </m:sSub>
          <m:r>
            <w:rPr>
              <w:rFonts w:ascii="Cambria Math" w:hAnsi="Cambria Math" w:cs="TimesNew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New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6</m:t>
                  </m:r>
                </m:sup>
              </m:sSup>
            </m:num>
            <m:den>
              <m:r>
                <w:rPr>
                  <w:rFonts w:ascii="Cambria Math" w:hAnsi="Cambria Math" w:cs="TimesNewRoman"/>
                  <w:sz w:val="24"/>
                  <w:szCs w:val="24"/>
                </w:rPr>
                <m:t>60 ∙n</m:t>
              </m:r>
            </m:den>
          </m:f>
          <m:r>
            <w:rPr>
              <w:rFonts w:ascii="Cambria Math" w:hAnsi="Cambria Math" w:cs="TimesNewRoman"/>
              <w:sz w:val="24"/>
              <w:szCs w:val="24"/>
            </w:rPr>
            <m:t xml:space="preserve"> ∙ </m:t>
          </m:r>
          <m:sSub>
            <m:sSub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New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NewRoman"/>
                  <w:sz w:val="24"/>
                  <w:szCs w:val="24"/>
                </w:rPr>
                <m:t>10</m:t>
              </m:r>
            </m:sub>
          </m:sSub>
          <m:r>
            <w:rPr>
              <w:rFonts w:ascii="Cambria Math" w:hAnsi="Cambria Math" w:cs="TimesNew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New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6</m:t>
                  </m:r>
                </m:sup>
              </m:sSup>
            </m:num>
            <m:den>
              <m:r>
                <w:rPr>
                  <w:rFonts w:ascii="Cambria Math" w:hAnsi="Cambria Math" w:cs="TimesNewRoman"/>
                  <w:sz w:val="24"/>
                  <w:szCs w:val="24"/>
                </w:rPr>
                <m:t>60 ∙1500</m:t>
              </m:r>
            </m:den>
          </m:f>
          <m:r>
            <w:rPr>
              <w:rFonts w:ascii="Cambria Math" w:hAnsi="Cambria Math" w:cs="TimesNewRoman"/>
              <w:sz w:val="24"/>
              <w:szCs w:val="24"/>
            </w:rPr>
            <m:t xml:space="preserve"> ∙2526,62=28073,56</m:t>
          </m:r>
        </m:oMath>
      </m:oMathPara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eastAsiaTheme="minorEastAsia"/>
          <w:sz w:val="24"/>
          <w:szCs w:val="24"/>
        </w:rPr>
      </w:pPr>
    </w:p>
    <w:p w:rsidR="00022DA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Itt</w:t>
      </w:r>
      <w:r w:rsidR="00022DAF">
        <w:rPr>
          <w:rFonts w:cs="TimesNewRoman"/>
          <w:sz w:val="24"/>
          <w:szCs w:val="24"/>
        </w:rPr>
        <w:t>: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cs="TimesNewRoman"/>
          <w:sz w:val="24"/>
          <w:szCs w:val="24"/>
        </w:rPr>
        <w:t xml:space="preserve">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022DAF">
        <w:rPr>
          <w:rFonts w:cs="TimesNewRoman"/>
          <w:sz w:val="24"/>
          <w:szCs w:val="24"/>
          <w:vertAlign w:val="subscript"/>
        </w:rPr>
        <w:t>10</w:t>
      </w:r>
      <w:r w:rsidRPr="00022DA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h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022DAF">
        <w:rPr>
          <w:rFonts w:cs="TimesNewRoman"/>
          <w:sz w:val="24"/>
          <w:szCs w:val="24"/>
        </w:rPr>
        <w:t>az élettartam, h;</w:t>
      </w:r>
    </w:p>
    <w:p w:rsidR="009E6531" w:rsidRPr="00022DAF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n </w:t>
      </w:r>
      <w:r w:rsidRPr="00022DAF">
        <w:rPr>
          <w:rFonts w:cs="TimesNewRoman"/>
          <w:sz w:val="24"/>
          <w:szCs w:val="24"/>
        </w:rPr>
        <w:t>a fordulatszám, 1/min;</w:t>
      </w:r>
    </w:p>
    <w:p w:rsidR="009E6531" w:rsidRDefault="009E6531" w:rsidP="00022DAF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022DAF">
        <w:rPr>
          <w:rFonts w:cs="TimesNewRoman"/>
          <w:sz w:val="24"/>
          <w:szCs w:val="24"/>
          <w:vertAlign w:val="subscript"/>
        </w:rPr>
        <w:t xml:space="preserve">10 </w:t>
      </w:r>
      <w:r w:rsidRPr="00022DAF">
        <w:rPr>
          <w:rFonts w:cs="TimesNewRoman"/>
          <w:sz w:val="24"/>
          <w:szCs w:val="24"/>
        </w:rPr>
        <w:t>az élettartam, millió körülfordulás.</w:t>
      </w:r>
    </w:p>
    <w:p w:rsidR="00022DAF" w:rsidRPr="00022DAF" w:rsidRDefault="00022DAF" w:rsidP="00022DAF">
      <w:pPr>
        <w:pStyle w:val="Listaszerbekezds"/>
        <w:autoSpaceDE w:val="0"/>
        <w:autoSpaceDN w:val="0"/>
        <w:adjustRightInd w:val="0"/>
        <w:spacing w:after="0" w:line="240" w:lineRule="auto"/>
        <w:ind w:left="405"/>
        <w:rPr>
          <w:rFonts w:cs="TimesNewRoman"/>
          <w:sz w:val="24"/>
          <w:szCs w:val="24"/>
        </w:rPr>
      </w:pPr>
    </w:p>
    <w:p w:rsidR="009E6531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PS-BoldMT"/>
          <w:b/>
          <w:bCs/>
          <w:sz w:val="24"/>
          <w:szCs w:val="24"/>
        </w:rPr>
      </w:pPr>
      <w:r w:rsidRPr="004E544F">
        <w:rPr>
          <w:rFonts w:cs="TimesNewRomanPS-BoldMT"/>
          <w:b/>
          <w:bCs/>
          <w:sz w:val="24"/>
          <w:szCs w:val="24"/>
        </w:rPr>
        <w:t>A csapágyak módosított élettartama</w:t>
      </w:r>
    </w:p>
    <w:p w:rsidR="0060600C" w:rsidRPr="004E544F" w:rsidRDefault="0060600C" w:rsidP="009E6531">
      <w:pPr>
        <w:autoSpaceDE w:val="0"/>
        <w:autoSpaceDN w:val="0"/>
        <w:adjustRightInd w:val="0"/>
        <w:spacing w:after="0" w:line="240" w:lineRule="auto"/>
        <w:rPr>
          <w:rFonts w:cs="TimesNewRomanPS-BoldMT"/>
          <w:b/>
          <w:bCs/>
          <w:sz w:val="24"/>
          <w:szCs w:val="24"/>
        </w:rPr>
      </w:pPr>
    </w:p>
    <w:p w:rsidR="00801B9A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módosított élettartam-egyenlet lehetőséget biztosít a 90%-tól eltérő megbízhatóság, k</w:t>
      </w:r>
      <w:r w:rsidRPr="004E544F">
        <w:rPr>
          <w:rFonts w:cs="TimesNewRoman"/>
          <w:sz w:val="24"/>
          <w:szCs w:val="24"/>
        </w:rPr>
        <w:t>ü</w:t>
      </w:r>
      <w:r w:rsidRPr="004E544F">
        <w:rPr>
          <w:rFonts w:cs="TimesNewRoman"/>
          <w:sz w:val="24"/>
          <w:szCs w:val="24"/>
        </w:rPr>
        <w:t>lönleges anyagok használatának, valamint a kenés hatékonys</w:t>
      </w:r>
      <w:r w:rsidRPr="004E544F">
        <w:rPr>
          <w:rFonts w:cs="TimesNewRoman"/>
          <w:sz w:val="24"/>
          <w:szCs w:val="24"/>
        </w:rPr>
        <w:t>á</w:t>
      </w:r>
      <w:r w:rsidRPr="004E544F">
        <w:rPr>
          <w:rFonts w:cs="TimesNewRoman"/>
          <w:sz w:val="24"/>
          <w:szCs w:val="24"/>
        </w:rPr>
        <w:t>gának a figyelembevételére:</w:t>
      </w:r>
    </w:p>
    <w:p w:rsidR="0060600C" w:rsidRPr="004E544F" w:rsidRDefault="0060600C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E6531" w:rsidRDefault="00022DAF" w:rsidP="00022DAF">
      <w:pPr>
        <w:autoSpaceDE w:val="0"/>
        <w:autoSpaceDN w:val="0"/>
        <w:adjustRightInd w:val="0"/>
        <w:spacing w:after="0" w:line="240" w:lineRule="auto"/>
        <w:jc w:val="center"/>
        <w:rPr>
          <w:rFonts w:eastAsia="TimesNewRomanPS-ItalicMT"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022DA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na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022DAF">
        <w:rPr>
          <w:rFonts w:eastAsia="SymbolMT" w:cs="SymbolMT"/>
          <w:sz w:val="24"/>
          <w:szCs w:val="24"/>
        </w:rPr>
        <w:t xml:space="preserve">=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022DAF">
        <w:rPr>
          <w:rFonts w:eastAsia="TimesNewRomanPS-ItalicMT" w:cs="TimesNewRoman"/>
          <w:sz w:val="24"/>
          <w:szCs w:val="24"/>
          <w:vertAlign w:val="subscript"/>
        </w:rPr>
        <w:t>1</w:t>
      </w:r>
      <w:r w:rsidRPr="00022DAF">
        <w:rPr>
          <w:rFonts w:eastAsia="TimesNewRomanPS-ItalicMT" w:cs="TimesNewRoman"/>
          <w:sz w:val="24"/>
          <w:szCs w:val="24"/>
        </w:rPr>
        <w:t xml:space="preserve">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022DAF">
        <w:rPr>
          <w:rFonts w:eastAsia="TimesNewRomanPS-ItalicMT" w:cs="TimesNewRoman"/>
          <w:sz w:val="24"/>
          <w:szCs w:val="24"/>
          <w:vertAlign w:val="subscript"/>
        </w:rPr>
        <w:t>23</w:t>
      </w:r>
      <w:r w:rsidRPr="00022DAF">
        <w:rPr>
          <w:rFonts w:eastAsia="TimesNewRomanPS-ItalicMT" w:cs="TimesNewRoman"/>
          <w:sz w:val="24"/>
          <w:szCs w:val="24"/>
        </w:rPr>
        <w:t xml:space="preserve">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022DAF">
        <w:rPr>
          <w:rFonts w:eastAsia="TimesNewRomanPS-ItalicMT" w:cs="TimesNewRoman"/>
          <w:sz w:val="24"/>
          <w:szCs w:val="24"/>
          <w:vertAlign w:val="subscript"/>
        </w:rPr>
        <w:t>10</w:t>
      </w:r>
      <w:r>
        <w:rPr>
          <w:rFonts w:eastAsia="TimesNewRomanPS-ItalicMT" w:cs="TimesNewRoman"/>
          <w:sz w:val="24"/>
          <w:szCs w:val="24"/>
          <w:vertAlign w:val="subscript"/>
        </w:rPr>
        <w:t xml:space="preserve"> </w:t>
      </w:r>
      <w:r>
        <w:rPr>
          <w:rFonts w:eastAsia="TimesNewRomanPS-ItalicMT" w:cs="TimesNewRoman"/>
          <w:sz w:val="24"/>
          <w:szCs w:val="24"/>
        </w:rPr>
        <w:t xml:space="preserve"> </w:t>
      </w:r>
      <m:oMath>
        <m:r>
          <w:rPr>
            <w:rFonts w:ascii="Cambria Math" w:eastAsia="TimesNewRomanPS-ItalicMT" w:hAnsi="Cambria Math" w:cs="TimesNewRoman"/>
            <w:sz w:val="24"/>
            <w:szCs w:val="24"/>
          </w:rPr>
          <m:t>=0,62 ∙0,7 ∙2526,62</m:t>
        </m:r>
        <m:r>
          <w:rPr>
            <w:rFonts w:ascii="Cambria Math" w:eastAsia="TimesNewRomanPS-ItalicMT" w:hAnsi="Cambria Math" w:cs="TimesNewRoman"/>
            <w:sz w:val="24"/>
            <w:szCs w:val="24"/>
          </w:rPr>
          <m:t>=1096,55</m:t>
        </m:r>
      </m:oMath>
    </w:p>
    <w:p w:rsidR="0060600C" w:rsidRPr="00022DAF" w:rsidRDefault="0060600C" w:rsidP="00022DAF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sz w:val="24"/>
          <w:szCs w:val="24"/>
        </w:rPr>
      </w:pPr>
    </w:p>
    <w:p w:rsidR="0060600C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ahol</w:t>
      </w:r>
      <w:r w:rsidR="0060600C">
        <w:rPr>
          <w:rFonts w:cs="TimesNewRoman"/>
          <w:sz w:val="24"/>
          <w:szCs w:val="24"/>
        </w:rPr>
        <w:t>:</w:t>
      </w:r>
    </w:p>
    <w:p w:rsidR="009E6531" w:rsidRPr="0060600C" w:rsidRDefault="009E6531" w:rsidP="0060600C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60600C">
        <w:rPr>
          <w:rFonts w:cs="TimesNewRoman"/>
          <w:sz w:val="24"/>
          <w:szCs w:val="24"/>
        </w:rPr>
        <w:t xml:space="preserve"> 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60600C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na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60600C">
        <w:rPr>
          <w:rFonts w:cs="TimesNewRoman"/>
          <w:sz w:val="24"/>
          <w:szCs w:val="24"/>
        </w:rPr>
        <w:t>a módosított élettartam, millió körülfordulás;</w:t>
      </w:r>
    </w:p>
    <w:p w:rsidR="009E6531" w:rsidRPr="0060600C" w:rsidRDefault="009E6531" w:rsidP="0060600C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60600C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60600C">
        <w:rPr>
          <w:rFonts w:cs="TimesNewRoman"/>
          <w:sz w:val="24"/>
          <w:szCs w:val="24"/>
          <w:vertAlign w:val="subscript"/>
        </w:rPr>
        <w:t>1</w:t>
      </w:r>
      <w:r w:rsidRPr="0060600C">
        <w:rPr>
          <w:rFonts w:cs="TimesNewRoman"/>
          <w:sz w:val="24"/>
          <w:szCs w:val="24"/>
        </w:rPr>
        <w:t xml:space="preserve"> </w:t>
      </w:r>
      <w:r w:rsidR="0060600C">
        <w:rPr>
          <w:rFonts w:cs="TimesNewRoman"/>
          <w:sz w:val="24"/>
          <w:szCs w:val="24"/>
        </w:rPr>
        <w:t xml:space="preserve">= 0,62, </w:t>
      </w:r>
      <w:r w:rsidRPr="0060600C">
        <w:rPr>
          <w:rFonts w:cs="TimesNewRoman"/>
          <w:sz w:val="24"/>
          <w:szCs w:val="24"/>
        </w:rPr>
        <w:t>az élettartam-tényező, amely figyelembe veszi a megbízhatóságot;</w:t>
      </w:r>
    </w:p>
    <w:p w:rsidR="009E6531" w:rsidRPr="0060600C" w:rsidRDefault="009E6531" w:rsidP="0060600C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60600C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60600C">
        <w:rPr>
          <w:rFonts w:cs="TimesNewRoman"/>
          <w:sz w:val="24"/>
          <w:szCs w:val="24"/>
          <w:vertAlign w:val="subscript"/>
        </w:rPr>
        <w:t>23</w:t>
      </w:r>
      <w:r w:rsidRPr="0060600C">
        <w:rPr>
          <w:rFonts w:cs="TimesNewRoman"/>
          <w:sz w:val="24"/>
          <w:szCs w:val="24"/>
        </w:rPr>
        <w:t xml:space="preserve"> </w:t>
      </w:r>
      <w:r w:rsidR="0060600C">
        <w:rPr>
          <w:rFonts w:cs="TimesNewRoman"/>
          <w:sz w:val="24"/>
          <w:szCs w:val="24"/>
        </w:rPr>
        <w:t xml:space="preserve">= 0,7, </w:t>
      </w:r>
      <w:r w:rsidRPr="0060600C">
        <w:rPr>
          <w:rFonts w:cs="TimesNewRoman"/>
          <w:sz w:val="24"/>
          <w:szCs w:val="24"/>
        </w:rPr>
        <w:t>az élettartam-tényező, amely figyelembe veszi a kenés hatékonyságát;</w:t>
      </w:r>
    </w:p>
    <w:p w:rsidR="00801B9A" w:rsidRPr="0060600C" w:rsidRDefault="009E6531" w:rsidP="0060600C">
      <w:pPr>
        <w:pStyle w:val="Listaszerbekezds"/>
        <w:numPr>
          <w:ilvl w:val="0"/>
          <w:numId w:val="5"/>
        </w:numPr>
        <w:rPr>
          <w:rFonts w:cs="TimesNewRoman"/>
          <w:sz w:val="24"/>
          <w:szCs w:val="24"/>
        </w:rPr>
      </w:pPr>
      <w:r w:rsidRPr="0060600C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60600C">
        <w:rPr>
          <w:rFonts w:cs="TimesNewRoman"/>
          <w:sz w:val="24"/>
          <w:szCs w:val="24"/>
          <w:vertAlign w:val="subscript"/>
        </w:rPr>
        <w:t>10</w:t>
      </w:r>
      <w:r w:rsidRPr="0060600C">
        <w:rPr>
          <w:rFonts w:cs="TimesNewRoman"/>
          <w:sz w:val="24"/>
          <w:szCs w:val="24"/>
        </w:rPr>
        <w:t xml:space="preserve"> </w:t>
      </w:r>
      <w:r w:rsidR="0060600C">
        <w:rPr>
          <w:rFonts w:cs="TimesNewRoman"/>
          <w:sz w:val="24"/>
          <w:szCs w:val="24"/>
        </w:rPr>
        <w:t xml:space="preserve">= 2526,62, </w:t>
      </w:r>
      <w:r w:rsidRPr="0060600C">
        <w:rPr>
          <w:rFonts w:cs="TimesNewRoman"/>
          <w:sz w:val="24"/>
          <w:szCs w:val="24"/>
        </w:rPr>
        <w:t>az alapélettartam, millió körülfordulás.</w:t>
      </w:r>
    </w:p>
    <w:p w:rsidR="0060600C" w:rsidRPr="0060600C" w:rsidRDefault="0060600C" w:rsidP="0060600C">
      <w:pPr>
        <w:autoSpaceDE w:val="0"/>
        <w:autoSpaceDN w:val="0"/>
        <w:adjustRightInd w:val="0"/>
        <w:spacing w:after="0" w:line="240" w:lineRule="auto"/>
        <w:ind w:left="45"/>
        <w:rPr>
          <w:rFonts w:cs="TimesNewRoman"/>
          <w:sz w:val="24"/>
          <w:szCs w:val="24"/>
          <w:u w:val="single"/>
        </w:rPr>
      </w:pPr>
      <w:r w:rsidRPr="0060600C">
        <w:rPr>
          <w:rFonts w:cs="TimesNewRoman"/>
          <w:sz w:val="24"/>
          <w:szCs w:val="24"/>
          <w:u w:val="single"/>
        </w:rPr>
        <w:t>A gördülőcsapágyak alapélettartama az A pontban:</w:t>
      </w:r>
    </w:p>
    <w:p w:rsidR="0060600C" w:rsidRPr="0060600C" w:rsidRDefault="0060600C" w:rsidP="0060600C">
      <w:pPr>
        <w:autoSpaceDE w:val="0"/>
        <w:autoSpaceDN w:val="0"/>
        <w:adjustRightInd w:val="0"/>
        <w:spacing w:after="0" w:line="240" w:lineRule="auto"/>
        <w:ind w:left="45"/>
        <w:rPr>
          <w:rFonts w:cs="TimesNewRoman"/>
          <w:sz w:val="24"/>
          <w:szCs w:val="24"/>
        </w:rPr>
      </w:pPr>
    </w:p>
    <w:p w:rsidR="0060600C" w:rsidRDefault="0060600C" w:rsidP="0060600C">
      <w:pPr>
        <w:pStyle w:val="Listaszerbekezds"/>
        <w:autoSpaceDE w:val="0"/>
        <w:autoSpaceDN w:val="0"/>
        <w:adjustRightInd w:val="0"/>
        <w:spacing w:after="0" w:line="240" w:lineRule="auto"/>
        <w:ind w:left="405"/>
        <w:jc w:val="center"/>
        <w:rPr>
          <w:rFonts w:eastAsiaTheme="minorEastAsia" w:cs="TimesNew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New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New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 w:cs="TimesNewRoman"/>
                <w:sz w:val="24"/>
                <w:szCs w:val="24"/>
              </w:rPr>
              <m:t>10</m:t>
            </m:r>
          </m:sub>
        </m:sSub>
        <m:r>
          <w:rPr>
            <w:rFonts w:ascii="Cambria Math" w:hAnsi="Cambria Math" w:cs="TimesNewRoman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hAnsi="Cambria Math" w:cs="TimesNew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NewRoman"/>
                <w:sz w:val="24"/>
                <w:szCs w:val="24"/>
              </w:rPr>
              <m:t>(</m:t>
            </m:r>
            <m:f>
              <m:fPr>
                <m:ctrlPr>
                  <w:rPr>
                    <w:rFonts w:ascii="Cambria Math" w:hAnsi="Cambria Math" w:cs="TimesNew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NewRoman"/>
                    <w:sz w:val="24"/>
                    <w:szCs w:val="24"/>
                  </w:rPr>
                  <m:t>c</m:t>
                </m:r>
              </m:num>
              <m:den>
                <m:r>
                  <w:rPr>
                    <w:rFonts w:ascii="Cambria Math" w:hAnsi="Cambria Math" w:cs="TimesNewRoman"/>
                    <w:sz w:val="24"/>
                    <w:szCs w:val="24"/>
                  </w:rPr>
                  <m:t>p</m:t>
                </m:r>
              </m:den>
            </m:f>
            <m:r>
              <w:rPr>
                <w:rFonts w:ascii="Cambria Math" w:hAnsi="Cambria Math" w:cs="TimesNewRoman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 w:cs="TimesNewRoman"/>
                <w:sz w:val="24"/>
                <w:szCs w:val="24"/>
              </w:rPr>
              <m:t>p</m:t>
            </m:r>
          </m:sup>
        </m:sSup>
      </m:oMath>
      <w:r w:rsidRPr="0060600C">
        <w:rPr>
          <w:rFonts w:eastAsiaTheme="minorEastAsia" w:cs="TimesNewRoman"/>
          <w:sz w:val="24"/>
          <w:szCs w:val="24"/>
        </w:rPr>
        <w:t xml:space="preserve"> = (29600 / 2</w:t>
      </w:r>
      <w:r>
        <w:rPr>
          <w:rFonts w:eastAsiaTheme="minorEastAsia" w:cs="TimesNewRoman"/>
          <w:sz w:val="24"/>
          <w:szCs w:val="24"/>
        </w:rPr>
        <w:t>477</w:t>
      </w:r>
      <w:r w:rsidRPr="0060600C">
        <w:rPr>
          <w:rFonts w:eastAsiaTheme="minorEastAsia" w:cs="TimesNewRoman"/>
          <w:sz w:val="24"/>
          <w:szCs w:val="24"/>
        </w:rPr>
        <w:t>,</w:t>
      </w:r>
      <w:r>
        <w:rPr>
          <w:rFonts w:eastAsiaTheme="minorEastAsia" w:cs="TimesNewRoman"/>
          <w:sz w:val="24"/>
          <w:szCs w:val="24"/>
        </w:rPr>
        <w:t>03</w:t>
      </w:r>
      <w:r w:rsidRPr="0060600C">
        <w:rPr>
          <w:rFonts w:eastAsiaTheme="minorEastAsia" w:cs="TimesNewRoman"/>
          <w:sz w:val="24"/>
          <w:szCs w:val="24"/>
        </w:rPr>
        <w:t>)</w:t>
      </w:r>
      <w:r w:rsidRPr="0060600C">
        <w:rPr>
          <w:rFonts w:eastAsiaTheme="minorEastAsia" w:cs="TimesNewRoman"/>
          <w:sz w:val="24"/>
          <w:szCs w:val="24"/>
          <w:vertAlign w:val="superscript"/>
        </w:rPr>
        <w:t>3</w:t>
      </w:r>
      <w:r w:rsidRPr="0060600C">
        <w:rPr>
          <w:rFonts w:eastAsiaTheme="minorEastAsia" w:cs="TimesNewRoman"/>
          <w:sz w:val="24"/>
          <w:szCs w:val="24"/>
        </w:rPr>
        <w:t xml:space="preserve"> = </w:t>
      </w:r>
      <w:r>
        <w:rPr>
          <w:rFonts w:eastAsiaTheme="minorEastAsia" w:cs="TimesNewRoman"/>
          <w:sz w:val="24"/>
          <w:szCs w:val="24"/>
        </w:rPr>
        <w:t>1706,4</w:t>
      </w:r>
    </w:p>
    <w:p w:rsidR="0060600C" w:rsidRDefault="0060600C" w:rsidP="0060600C">
      <w:pPr>
        <w:pStyle w:val="Listaszerbekezds"/>
        <w:autoSpaceDE w:val="0"/>
        <w:autoSpaceDN w:val="0"/>
        <w:adjustRightInd w:val="0"/>
        <w:spacing w:after="0" w:line="240" w:lineRule="auto"/>
        <w:ind w:left="405"/>
        <w:jc w:val="center"/>
        <w:rPr>
          <w:rFonts w:eastAsiaTheme="minorEastAsia" w:cs="TimesNewRoman"/>
          <w:sz w:val="24"/>
          <w:szCs w:val="24"/>
        </w:rPr>
      </w:pPr>
    </w:p>
    <w:p w:rsidR="0060600C" w:rsidRDefault="0060600C" w:rsidP="0060600C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Az üzemórákban számított élettartam:</w:t>
      </w:r>
    </w:p>
    <w:p w:rsidR="0060600C" w:rsidRPr="004E544F" w:rsidRDefault="0060600C" w:rsidP="0060600C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60600C">
      <w:pPr>
        <w:autoSpaceDE w:val="0"/>
        <w:autoSpaceDN w:val="0"/>
        <w:adjustRightInd w:val="0"/>
        <w:spacing w:after="0" w:line="240" w:lineRule="auto"/>
        <w:rPr>
          <w:rFonts w:eastAsiaTheme="minorEastAsia" w:cs="TimesNew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New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NewRoman"/>
                  <w:sz w:val="24"/>
                  <w:szCs w:val="24"/>
                </w:rPr>
                <m:t>10</m:t>
              </m:r>
              <m:r>
                <w:rPr>
                  <w:rFonts w:ascii="Cambria Math" w:hAnsi="Cambria Math" w:cs="TimesNewRoman"/>
                  <w:sz w:val="24"/>
                  <w:szCs w:val="24"/>
                </w:rPr>
                <m:t>h</m:t>
              </m:r>
            </m:sub>
          </m:sSub>
          <m:r>
            <w:rPr>
              <w:rFonts w:ascii="Cambria Math" w:hAnsi="Cambria Math" w:cs="TimesNew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New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6</m:t>
                  </m:r>
                </m:sup>
              </m:sSup>
            </m:num>
            <m:den>
              <m:r>
                <w:rPr>
                  <w:rFonts w:ascii="Cambria Math" w:hAnsi="Cambria Math" w:cs="TimesNewRoman"/>
                  <w:sz w:val="24"/>
                  <w:szCs w:val="24"/>
                </w:rPr>
                <m:t>60 ∙n</m:t>
              </m:r>
            </m:den>
          </m:f>
          <m:r>
            <w:rPr>
              <w:rFonts w:ascii="Cambria Math" w:hAnsi="Cambria Math" w:cs="TimesNewRoman"/>
              <w:sz w:val="24"/>
              <w:szCs w:val="24"/>
            </w:rPr>
            <m:t xml:space="preserve"> ∙ </m:t>
          </m:r>
          <m:sSub>
            <m:sSub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NewRoman"/>
                  <w:sz w:val="24"/>
                  <w:szCs w:val="24"/>
                </w:rPr>
                <m:t>L</m:t>
              </m:r>
            </m:e>
            <m:sub>
              <m:r>
                <w:rPr>
                  <w:rFonts w:ascii="Cambria Math" w:hAnsi="Cambria Math" w:cs="TimesNewRoman"/>
                  <w:sz w:val="24"/>
                  <w:szCs w:val="24"/>
                </w:rPr>
                <m:t>10</m:t>
              </m:r>
            </m:sub>
          </m:sSub>
          <m:r>
            <w:rPr>
              <w:rFonts w:ascii="Cambria Math" w:hAnsi="Cambria Math" w:cs="TimesNew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New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New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NewRoman"/>
                      <w:sz w:val="24"/>
                      <w:szCs w:val="24"/>
                    </w:rPr>
                    <m:t>6</m:t>
                  </m:r>
                </m:sup>
              </m:sSup>
            </m:num>
            <m:den>
              <m:r>
                <w:rPr>
                  <w:rFonts w:ascii="Cambria Math" w:hAnsi="Cambria Math" w:cs="TimesNewRoman"/>
                  <w:sz w:val="24"/>
                  <w:szCs w:val="24"/>
                </w:rPr>
                <m:t>60 ∙1500</m:t>
              </m:r>
            </m:den>
          </m:f>
          <m:r>
            <w:rPr>
              <w:rFonts w:ascii="Cambria Math" w:hAnsi="Cambria Math" w:cs="TimesNewRoman"/>
              <w:sz w:val="24"/>
              <w:szCs w:val="24"/>
            </w:rPr>
            <m:t xml:space="preserve"> ∙1706,4=18960</m:t>
          </m:r>
        </m:oMath>
      </m:oMathPara>
    </w:p>
    <w:p w:rsidR="0060600C" w:rsidRDefault="0060600C" w:rsidP="0060600C">
      <w:pPr>
        <w:autoSpaceDE w:val="0"/>
        <w:autoSpaceDN w:val="0"/>
        <w:adjustRightInd w:val="0"/>
        <w:spacing w:after="0" w:line="240" w:lineRule="auto"/>
        <w:rPr>
          <w:rFonts w:eastAsiaTheme="minorEastAsia" w:cs="TimesNewRoman"/>
          <w:sz w:val="24"/>
          <w:szCs w:val="24"/>
        </w:rPr>
      </w:pPr>
    </w:p>
    <w:p w:rsidR="0060600C" w:rsidRPr="0060600C" w:rsidRDefault="0060600C" w:rsidP="0060600C">
      <w:pPr>
        <w:autoSpaceDE w:val="0"/>
        <w:autoSpaceDN w:val="0"/>
        <w:adjustRightInd w:val="0"/>
        <w:spacing w:after="0" w:line="240" w:lineRule="auto"/>
        <w:jc w:val="center"/>
        <w:rPr>
          <w:rFonts w:eastAsia="TimesNewRomanPS-ItalicMT" w:cs="TimesNewRoman"/>
          <w:sz w:val="24"/>
          <w:szCs w:val="24"/>
        </w:rPr>
      </w:pPr>
      <w:r w:rsidRPr="00022DAF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022DAF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na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022DAF">
        <w:rPr>
          <w:rFonts w:eastAsia="SymbolMT" w:cs="SymbolMT"/>
          <w:sz w:val="24"/>
          <w:szCs w:val="24"/>
        </w:rPr>
        <w:t xml:space="preserve">=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022DAF">
        <w:rPr>
          <w:rFonts w:eastAsia="TimesNewRomanPS-ItalicMT" w:cs="TimesNewRoman"/>
          <w:sz w:val="24"/>
          <w:szCs w:val="24"/>
          <w:vertAlign w:val="subscript"/>
        </w:rPr>
        <w:t>1</w:t>
      </w:r>
      <w:r w:rsidRPr="00022DAF">
        <w:rPr>
          <w:rFonts w:eastAsia="TimesNewRomanPS-ItalicMT" w:cs="TimesNewRoman"/>
          <w:sz w:val="24"/>
          <w:szCs w:val="24"/>
        </w:rPr>
        <w:t xml:space="preserve">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022DAF">
        <w:rPr>
          <w:rFonts w:eastAsia="TimesNewRomanPS-ItalicMT" w:cs="TimesNewRoman"/>
          <w:sz w:val="24"/>
          <w:szCs w:val="24"/>
          <w:vertAlign w:val="subscript"/>
        </w:rPr>
        <w:t>23</w:t>
      </w:r>
      <w:r w:rsidRPr="00022DAF">
        <w:rPr>
          <w:rFonts w:eastAsia="TimesNewRomanPS-ItalicMT" w:cs="TimesNewRoman"/>
          <w:sz w:val="24"/>
          <w:szCs w:val="24"/>
        </w:rPr>
        <w:t xml:space="preserve"> </w:t>
      </w:r>
      <w:r w:rsidRPr="00022DAF">
        <w:rPr>
          <w:rFonts w:eastAsia="TimesNewRomanPS-ItalicMT" w:cs="TimesNewRomanPS-ItalicMT"/>
          <w:i/>
          <w:iCs/>
          <w:sz w:val="24"/>
          <w:szCs w:val="24"/>
        </w:rPr>
        <w:t>L</w:t>
      </w:r>
      <w:r w:rsidRPr="00022DAF">
        <w:rPr>
          <w:rFonts w:eastAsia="TimesNewRomanPS-ItalicMT" w:cs="TimesNewRoman"/>
          <w:sz w:val="24"/>
          <w:szCs w:val="24"/>
          <w:vertAlign w:val="subscript"/>
        </w:rPr>
        <w:t>10</w:t>
      </w:r>
      <w:r>
        <w:rPr>
          <w:rFonts w:eastAsia="TimesNewRomanPS-ItalicMT" w:cs="TimesNewRoman"/>
          <w:sz w:val="24"/>
          <w:szCs w:val="24"/>
          <w:vertAlign w:val="subscript"/>
        </w:rPr>
        <w:t xml:space="preserve"> </w:t>
      </w:r>
      <w:r>
        <w:rPr>
          <w:rFonts w:eastAsia="TimesNewRomanPS-ItalicMT" w:cs="TimesNewRoman"/>
          <w:sz w:val="24"/>
          <w:szCs w:val="24"/>
        </w:rPr>
        <w:t xml:space="preserve"> </w:t>
      </w:r>
      <m:oMath>
        <m:r>
          <w:rPr>
            <w:rFonts w:ascii="Cambria Math" w:eastAsia="TimesNewRomanPS-ItalicMT" w:hAnsi="Cambria Math" w:cs="TimesNewRoman"/>
            <w:sz w:val="24"/>
            <w:szCs w:val="24"/>
          </w:rPr>
          <m:t>=0,62 ∙0,7 ∙1706,4=740</m:t>
        </m:r>
      </m:oMath>
      <w:r>
        <w:rPr>
          <w:rFonts w:eastAsia="TimesNewRomanPS-ItalicMT" w:cs="TimesNewRoman"/>
          <w:sz w:val="24"/>
          <w:szCs w:val="24"/>
        </w:rPr>
        <w:t>,58</w:t>
      </w:r>
    </w:p>
    <w:p w:rsidR="0060600C" w:rsidRPr="004E544F" w:rsidRDefault="0060600C" w:rsidP="0060600C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Pr="0060600C" w:rsidRDefault="0060600C" w:rsidP="0060600C">
      <w:pPr>
        <w:pStyle w:val="Listaszerbekezds"/>
        <w:autoSpaceDE w:val="0"/>
        <w:autoSpaceDN w:val="0"/>
        <w:adjustRightInd w:val="0"/>
        <w:spacing w:after="0" w:line="240" w:lineRule="auto"/>
        <w:ind w:left="405"/>
        <w:jc w:val="center"/>
        <w:rPr>
          <w:rFonts w:eastAsiaTheme="minorEastAsia" w:cs="TimesNewRoman"/>
          <w:sz w:val="24"/>
          <w:szCs w:val="24"/>
        </w:rPr>
      </w:pPr>
    </w:p>
    <w:p w:rsidR="0060600C" w:rsidRDefault="0060600C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Az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a</w:t>
      </w:r>
      <w:r w:rsidRPr="004E544F">
        <w:rPr>
          <w:rFonts w:cs="TimesNewRoman"/>
          <w:sz w:val="24"/>
          <w:szCs w:val="24"/>
          <w:vertAlign w:val="subscript"/>
        </w:rPr>
        <w:t>23</w:t>
      </w:r>
      <w:r w:rsidRPr="004E544F">
        <w:rPr>
          <w:rFonts w:cs="TimesNewRoman"/>
          <w:sz w:val="24"/>
          <w:szCs w:val="24"/>
        </w:rPr>
        <w:t xml:space="preserve"> tényező számszerű értékei annak függvényében változnak, hogy a ténylegesen</w:t>
      </w:r>
      <w:r w:rsidR="0060600C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fe</w:t>
      </w:r>
      <w:r w:rsidRPr="004E544F">
        <w:rPr>
          <w:rFonts w:cs="TimesNewRoman"/>
          <w:sz w:val="24"/>
          <w:szCs w:val="24"/>
        </w:rPr>
        <w:t>l</w:t>
      </w:r>
      <w:r w:rsidRPr="004E544F">
        <w:rPr>
          <w:rFonts w:cs="TimesNewRoman"/>
          <w:sz w:val="24"/>
          <w:szCs w:val="24"/>
        </w:rPr>
        <w:t xml:space="preserve">használt kenőanyag üzemi hőmérsékleten meghatározott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ν </w:t>
      </w:r>
      <w:r w:rsidRPr="004E544F">
        <w:rPr>
          <w:rFonts w:cs="TimesNewRoman"/>
          <w:sz w:val="24"/>
          <w:szCs w:val="24"/>
        </w:rPr>
        <w:t>kinematikai vis</w:t>
      </w:r>
      <w:r w:rsidRPr="004E544F">
        <w:rPr>
          <w:rFonts w:cs="TimesNewRoman"/>
          <w:sz w:val="24"/>
          <w:szCs w:val="24"/>
        </w:rPr>
        <w:t>z</w:t>
      </w:r>
      <w:r w:rsidRPr="004E544F">
        <w:rPr>
          <w:rFonts w:cs="TimesNewRoman"/>
          <w:sz w:val="24"/>
          <w:szCs w:val="24"/>
        </w:rPr>
        <w:t>kozitása hogyan</w:t>
      </w:r>
      <w:r w:rsidR="0060600C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aránylik a kielégítő kenés biztosításához az adott hőmérsékleten elmélet</w:t>
      </w:r>
      <w:r w:rsidRPr="004E544F">
        <w:rPr>
          <w:rFonts w:cs="TimesNewRoman"/>
          <w:sz w:val="24"/>
          <w:szCs w:val="24"/>
        </w:rPr>
        <w:t>i</w:t>
      </w:r>
      <w:r w:rsidRPr="004E544F">
        <w:rPr>
          <w:rFonts w:cs="TimesNewRoman"/>
          <w:sz w:val="24"/>
          <w:szCs w:val="24"/>
        </w:rPr>
        <w:t xml:space="preserve">leg szükséges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ν</w:t>
      </w:r>
      <w:r w:rsidRPr="004E544F">
        <w:rPr>
          <w:rFonts w:cs="TimesNewRoman"/>
          <w:sz w:val="24"/>
          <w:szCs w:val="24"/>
          <w:vertAlign w:val="subscript"/>
        </w:rPr>
        <w:t>1</w:t>
      </w:r>
      <w:r w:rsidRPr="004E544F">
        <w:rPr>
          <w:rFonts w:cs="TimesNewRoman"/>
          <w:sz w:val="24"/>
          <w:szCs w:val="24"/>
        </w:rPr>
        <w:t xml:space="preserve"> viszkozitáshoz.</w:t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A kielégítő kenést biztosító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ν</w:t>
      </w:r>
      <w:r w:rsidRPr="004E544F">
        <w:rPr>
          <w:rFonts w:cs="TimesNewRoman"/>
          <w:sz w:val="24"/>
          <w:szCs w:val="24"/>
          <w:vertAlign w:val="subscript"/>
        </w:rPr>
        <w:t>1</w:t>
      </w:r>
      <w:r w:rsidRPr="004E544F">
        <w:rPr>
          <w:rFonts w:cs="TimesNewRoman"/>
          <w:sz w:val="24"/>
          <w:szCs w:val="24"/>
        </w:rPr>
        <w:t xml:space="preserve"> viszkozitás a 6. ábra segítségével határo</w:t>
      </w:r>
      <w:r w:rsidRPr="004E544F">
        <w:rPr>
          <w:rFonts w:cs="TimesNewRoman"/>
          <w:sz w:val="24"/>
          <w:szCs w:val="24"/>
        </w:rPr>
        <w:t>z</w:t>
      </w:r>
      <w:r w:rsidRPr="004E544F">
        <w:rPr>
          <w:rFonts w:cs="TimesNewRoman"/>
          <w:sz w:val="24"/>
          <w:szCs w:val="24"/>
        </w:rPr>
        <w:t>ható meg. Az ábrán</w:t>
      </w:r>
    </w:p>
    <w:p w:rsidR="009E6531" w:rsidRPr="0060600C" w:rsidRDefault="009E6531" w:rsidP="0060600C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60600C">
        <w:rPr>
          <w:rFonts w:eastAsia="TimesNewRomanPS-ItalicMT" w:cs="TimesNewRomanPS-ItalicMT"/>
          <w:i/>
          <w:iCs/>
          <w:sz w:val="24"/>
          <w:szCs w:val="24"/>
        </w:rPr>
        <w:t xml:space="preserve">n </w:t>
      </w:r>
      <w:r w:rsidRPr="0060600C">
        <w:rPr>
          <w:rFonts w:cs="TimesNewRoman"/>
          <w:sz w:val="24"/>
          <w:szCs w:val="24"/>
        </w:rPr>
        <w:t>a fordulatszám, min-1;</w:t>
      </w:r>
    </w:p>
    <w:p w:rsidR="009E6531" w:rsidRPr="0060600C" w:rsidRDefault="009E6531" w:rsidP="0060600C">
      <w:pPr>
        <w:pStyle w:val="Listaszerbekezds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60600C">
        <w:rPr>
          <w:rFonts w:eastAsia="TimesNewRomanPS-ItalicMT" w:cs="TimesNewRomanPS-ItalicMT"/>
          <w:i/>
          <w:iCs/>
          <w:sz w:val="24"/>
          <w:szCs w:val="24"/>
        </w:rPr>
        <w:t>d</w:t>
      </w:r>
      <w:r w:rsidRPr="0060600C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m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60600C">
        <w:rPr>
          <w:rFonts w:cs="TimesNewRoman"/>
          <w:sz w:val="24"/>
          <w:szCs w:val="24"/>
        </w:rPr>
        <w:t xml:space="preserve">a csapágy közepes átmérője: 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>d</w:t>
      </w:r>
      <w:r w:rsidRPr="0060600C">
        <w:rPr>
          <w:rFonts w:eastAsia="TimesNewRomanPS-ItalicMT" w:cs="TimesNewRomanPS-ItalicMT"/>
          <w:i/>
          <w:iCs/>
          <w:sz w:val="24"/>
          <w:szCs w:val="24"/>
          <w:vertAlign w:val="subscript"/>
        </w:rPr>
        <w:t>m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 xml:space="preserve"> </w:t>
      </w:r>
      <w:r w:rsidRPr="0060600C">
        <w:rPr>
          <w:rFonts w:cs="TimesNewRoman"/>
          <w:sz w:val="24"/>
          <w:szCs w:val="24"/>
        </w:rPr>
        <w:t>= (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>D</w:t>
      </w:r>
      <w:r w:rsidRPr="0060600C">
        <w:rPr>
          <w:rFonts w:cs="TimesNewRoman"/>
          <w:sz w:val="24"/>
          <w:szCs w:val="24"/>
        </w:rPr>
        <w:t>+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>d</w:t>
      </w:r>
      <w:r w:rsidRPr="0060600C">
        <w:rPr>
          <w:rFonts w:cs="TimesNewRoman"/>
          <w:sz w:val="24"/>
          <w:szCs w:val="24"/>
        </w:rPr>
        <w:t xml:space="preserve">)/2, ahol 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 xml:space="preserve">d </w:t>
      </w:r>
      <w:r w:rsidRPr="0060600C">
        <w:rPr>
          <w:rFonts w:cs="TimesNewRoman"/>
          <w:sz w:val="24"/>
          <w:szCs w:val="24"/>
        </w:rPr>
        <w:t xml:space="preserve">a furatátmérő, </w:t>
      </w:r>
      <w:r w:rsidRPr="0060600C">
        <w:rPr>
          <w:rFonts w:eastAsia="TimesNewRomanPS-ItalicMT" w:cs="TimesNewRomanPS-ItalicMT"/>
          <w:i/>
          <w:iCs/>
          <w:sz w:val="24"/>
          <w:szCs w:val="24"/>
        </w:rPr>
        <w:t xml:space="preserve">D </w:t>
      </w:r>
      <w:r w:rsidRPr="0060600C">
        <w:rPr>
          <w:rFonts w:cs="TimesNewRoman"/>
          <w:sz w:val="24"/>
          <w:szCs w:val="24"/>
        </w:rPr>
        <w:t>a p</w:t>
      </w:r>
      <w:r w:rsidRPr="0060600C">
        <w:rPr>
          <w:rFonts w:cs="TimesNewRoman"/>
          <w:sz w:val="24"/>
          <w:szCs w:val="24"/>
        </w:rPr>
        <w:t>a</w:t>
      </w:r>
      <w:r w:rsidRPr="0060600C">
        <w:rPr>
          <w:rFonts w:cs="TimesNewRoman"/>
          <w:sz w:val="24"/>
          <w:szCs w:val="24"/>
        </w:rPr>
        <w:t>lástátmérő.</w:t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viszkozitás meghatározása a mintaként berajzolt módon történik. A ví</w:t>
      </w:r>
      <w:r w:rsidRPr="004E544F">
        <w:rPr>
          <w:rFonts w:cs="TimesNewRoman"/>
          <w:sz w:val="24"/>
          <w:szCs w:val="24"/>
        </w:rPr>
        <w:t>z</w:t>
      </w:r>
      <w:r w:rsidRPr="004E544F">
        <w:rPr>
          <w:rFonts w:cs="TimesNewRoman"/>
          <w:sz w:val="24"/>
          <w:szCs w:val="24"/>
        </w:rPr>
        <w:t>szintes tengelyen</w:t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lastRenderedPageBreak/>
        <w:t>felmérjük a közepes átmérő értékét, majd függőlegesen a csapágy fordula</w:t>
      </w:r>
      <w:r w:rsidRPr="004E544F">
        <w:rPr>
          <w:rFonts w:cs="TimesNewRoman"/>
          <w:sz w:val="24"/>
          <w:szCs w:val="24"/>
        </w:rPr>
        <w:t>t</w:t>
      </w:r>
      <w:r w:rsidRPr="004E544F">
        <w:rPr>
          <w:rFonts w:cs="TimesNewRoman"/>
          <w:sz w:val="24"/>
          <w:szCs w:val="24"/>
        </w:rPr>
        <w:t>számának</w:t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megfelelő ferde vonalra vetítjük. A metszéspontból vízszintesen a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ν</w:t>
      </w:r>
      <w:r w:rsidRPr="004E544F">
        <w:rPr>
          <w:rFonts w:cs="TimesNewRoman"/>
          <w:sz w:val="24"/>
          <w:szCs w:val="24"/>
          <w:vertAlign w:val="subscript"/>
        </w:rPr>
        <w:t>1</w:t>
      </w:r>
      <w:r w:rsidRPr="004E544F">
        <w:rPr>
          <w:rFonts w:cs="TimesNewRoman"/>
          <w:sz w:val="24"/>
          <w:szCs w:val="24"/>
        </w:rPr>
        <w:t xml:space="preserve"> te</w:t>
      </w:r>
      <w:r w:rsidRPr="004E544F">
        <w:rPr>
          <w:rFonts w:cs="TimesNewRoman"/>
          <w:sz w:val="24"/>
          <w:szCs w:val="24"/>
        </w:rPr>
        <w:t>n</w:t>
      </w:r>
      <w:r w:rsidRPr="004E544F">
        <w:rPr>
          <w:rFonts w:cs="TimesNewRoman"/>
          <w:sz w:val="24"/>
          <w:szCs w:val="24"/>
        </w:rPr>
        <w:t>gelyre vetítve kapjuk meg a viszkozitás számértékét. A munkát megnehezíti, hogy mindkét koordináta tengely l</w:t>
      </w:r>
      <w:r w:rsidRPr="004E544F">
        <w:rPr>
          <w:rFonts w:cs="TimesNewRoman"/>
          <w:sz w:val="24"/>
          <w:szCs w:val="24"/>
        </w:rPr>
        <w:t>o</w:t>
      </w:r>
      <w:r w:rsidRPr="004E544F">
        <w:rPr>
          <w:rFonts w:cs="TimesNewRoman"/>
          <w:sz w:val="24"/>
          <w:szCs w:val="24"/>
        </w:rPr>
        <w:t>garitmus léptékű, ahogyan a fordulatszámok megadása is. Ennek megfelelően nagyon körü</w:t>
      </w:r>
      <w:r w:rsidRPr="004E544F">
        <w:rPr>
          <w:rFonts w:cs="TimesNewRoman"/>
          <w:sz w:val="24"/>
          <w:szCs w:val="24"/>
        </w:rPr>
        <w:t>l</w:t>
      </w:r>
      <w:r w:rsidRPr="004E544F">
        <w:rPr>
          <w:rFonts w:cs="TimesNewRoman"/>
          <w:sz w:val="24"/>
          <w:szCs w:val="24"/>
        </w:rPr>
        <w:t>tekintően kell eljárni, hogy elegendően pontos adatokhoz jussunk.</w:t>
      </w:r>
    </w:p>
    <w:p w:rsidR="009E6531" w:rsidRPr="004E544F" w:rsidRDefault="00957172" w:rsidP="00957172">
      <w:pPr>
        <w:autoSpaceDE w:val="0"/>
        <w:autoSpaceDN w:val="0"/>
        <w:adjustRightInd w:val="0"/>
        <w:spacing w:after="0" w:line="240" w:lineRule="auto"/>
        <w:jc w:val="center"/>
        <w:rPr>
          <w:rFonts w:cs="TimesNewRomanPS-BoldMT"/>
          <w:b/>
          <w:bCs/>
          <w:sz w:val="24"/>
          <w:szCs w:val="24"/>
        </w:rPr>
      </w:pPr>
      <w:r w:rsidRPr="004E544F">
        <w:rPr>
          <w:rFonts w:cs="TimesNewRoman"/>
          <w:noProof/>
          <w:sz w:val="24"/>
          <w:szCs w:val="24"/>
          <w:lang w:eastAsia="hu-HU"/>
        </w:rPr>
        <w:drawing>
          <wp:inline distT="0" distB="0" distL="0" distR="0">
            <wp:extent cx="3754530" cy="4292600"/>
            <wp:effectExtent l="19050" t="0" r="0" b="0"/>
            <wp:docPr id="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530" cy="429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jc w:val="center"/>
        <w:rPr>
          <w:rFonts w:cs="TimesNewRoman"/>
          <w:sz w:val="24"/>
          <w:szCs w:val="24"/>
        </w:rPr>
      </w:pPr>
      <w:r w:rsidRPr="004E544F">
        <w:rPr>
          <w:rFonts w:cs="TimesNewRomanPS-BoldMT"/>
          <w:b/>
          <w:bCs/>
          <w:sz w:val="24"/>
          <w:szCs w:val="24"/>
        </w:rPr>
        <w:t>6. ábra</w:t>
      </w:r>
      <w:r w:rsidRPr="004E544F">
        <w:rPr>
          <w:rFonts w:cs="TimesNewRoman"/>
          <w:sz w:val="24"/>
          <w:szCs w:val="24"/>
        </w:rPr>
        <w:t xml:space="preserve">.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A kielégítő kenést biztosító viszkozitás az üzemi hőmérsékleten</w:t>
      </w:r>
    </w:p>
    <w:p w:rsidR="009E6531" w:rsidRPr="004E544F" w:rsidRDefault="009E6531" w:rsidP="009E653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57172" w:rsidRPr="004E544F" w:rsidRDefault="00957172" w:rsidP="009E653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  <w:u w:val="single"/>
        </w:rPr>
      </w:pPr>
    </w:p>
    <w:p w:rsidR="00957172" w:rsidRPr="004E544F" w:rsidRDefault="00957172" w:rsidP="009E6531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  <w:u w:val="single"/>
        </w:rPr>
      </w:pP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kenőanyag üzemi hőmérsékleten érvényes viszkozitását a 7. ábrából lehet meghatározni. A</w:t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vízszintes tengelyre az üzemi hőmérsékletet kell felmérni, a görbe sorozat a kenőolajok</w:t>
      </w:r>
      <w:r w:rsidR="0060600C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(k</w:t>
      </w:r>
      <w:r w:rsidRPr="004E544F">
        <w:rPr>
          <w:rFonts w:cs="TimesNewRoman"/>
          <w:sz w:val="24"/>
          <w:szCs w:val="24"/>
        </w:rPr>
        <w:t>e</w:t>
      </w:r>
      <w:r w:rsidRPr="004E544F">
        <w:rPr>
          <w:rFonts w:cs="TimesNewRoman"/>
          <w:sz w:val="24"/>
          <w:szCs w:val="24"/>
        </w:rPr>
        <w:t>nőzsír esetén az alapolaj) ISO VG besorolásának megfelelően készült. A görbéken</w:t>
      </w:r>
      <w:r w:rsidR="0060600C">
        <w:rPr>
          <w:rFonts w:cs="TimesNewRoman"/>
          <w:sz w:val="24"/>
          <w:szCs w:val="24"/>
        </w:rPr>
        <w:t xml:space="preserve"> </w:t>
      </w:r>
      <w:r w:rsidRPr="004E544F">
        <w:rPr>
          <w:rFonts w:cs="TimesNewRoman"/>
          <w:sz w:val="24"/>
          <w:szCs w:val="24"/>
        </w:rPr>
        <w:t>szereplő számok az adott olaj mm</w:t>
      </w:r>
      <w:r w:rsidRPr="004E544F">
        <w:rPr>
          <w:rFonts w:cs="TimesNewRoman"/>
          <w:sz w:val="24"/>
          <w:szCs w:val="24"/>
          <w:vertAlign w:val="superscript"/>
        </w:rPr>
        <w:t>2</w:t>
      </w:r>
      <w:r w:rsidRPr="004E544F">
        <w:rPr>
          <w:rFonts w:cs="TimesNewRoman"/>
          <w:sz w:val="24"/>
          <w:szCs w:val="24"/>
        </w:rPr>
        <w:t>/s-ban kifejezett viszkozitását jelentik 40 °C-on.</w:t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  <w:u w:val="single"/>
        </w:rPr>
      </w:pPr>
      <w:r w:rsidRPr="004E544F">
        <w:rPr>
          <w:b/>
          <w:noProof/>
          <w:sz w:val="24"/>
          <w:szCs w:val="24"/>
          <w:u w:val="single"/>
          <w:lang w:eastAsia="hu-HU"/>
        </w:rPr>
        <w:lastRenderedPageBreak/>
        <w:drawing>
          <wp:inline distT="0" distB="0" distL="0" distR="0">
            <wp:extent cx="4216400" cy="4559300"/>
            <wp:effectExtent l="19050" t="0" r="0" b="0"/>
            <wp:docPr id="6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455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PS-ItalicMT"/>
          <w:i/>
          <w:iCs/>
          <w:sz w:val="24"/>
          <w:szCs w:val="24"/>
        </w:rPr>
      </w:pPr>
      <w:r w:rsidRPr="004E544F">
        <w:rPr>
          <w:rFonts w:cs="TimesNewRomanPS-BoldMT"/>
          <w:b/>
          <w:bCs/>
          <w:sz w:val="24"/>
          <w:szCs w:val="24"/>
        </w:rPr>
        <w:t>7. ábra</w:t>
      </w:r>
      <w:r w:rsidRPr="004E544F">
        <w:rPr>
          <w:rFonts w:cs="TimesNewRoman"/>
          <w:sz w:val="24"/>
          <w:szCs w:val="24"/>
        </w:rPr>
        <w:t xml:space="preserve">.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>A kenőanyag üzemi hőmérsékleten érvényes viszkozitása</w:t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eastAsia="TimesNewRomanPS-ItalicMT" w:cs="TimesNewRomanPS-ItalicMT"/>
          <w:i/>
          <w:iCs/>
          <w:sz w:val="24"/>
          <w:szCs w:val="24"/>
        </w:rPr>
      </w:pP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A 7. ábrán a szaggatott vonal az olajkiválasztásra mutat mintapéldát. Ebben a feladatban a</w:t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viszkozitást kell meghatározni, ezért a sorrend a következő:</w:t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– az üzemi hőmérséklet felmérése a vízszintes tengelyre,</w:t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– vetítés függőlegesen a megfelelő görbére (esetünkben a kenőzsír alapolaj viszkozitása 40</w:t>
      </w:r>
    </w:p>
    <w:p w:rsidR="00957172" w:rsidRPr="004E544F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>°C-on 110 mm</w:t>
      </w:r>
      <w:r w:rsidRPr="004E544F">
        <w:rPr>
          <w:rFonts w:cs="TimesNewRoman"/>
          <w:sz w:val="24"/>
          <w:szCs w:val="24"/>
          <w:vertAlign w:val="superscript"/>
        </w:rPr>
        <w:t>2</w:t>
      </w:r>
      <w:r w:rsidRPr="004E544F">
        <w:rPr>
          <w:rFonts w:cs="TimesNewRoman"/>
          <w:sz w:val="24"/>
          <w:szCs w:val="24"/>
        </w:rPr>
        <w:t>/s),</w:t>
      </w:r>
    </w:p>
    <w:p w:rsidR="00957172" w:rsidRDefault="00957172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4E544F">
        <w:rPr>
          <w:rFonts w:cs="TimesNewRoman"/>
          <w:sz w:val="24"/>
          <w:szCs w:val="24"/>
        </w:rPr>
        <w:t xml:space="preserve">– a metszéspontból vetítés vízszintesen a </w:t>
      </w:r>
      <w:r w:rsidRPr="004E544F">
        <w:rPr>
          <w:rFonts w:eastAsia="TimesNewRomanPS-ItalicMT" w:cs="TimesNewRomanPS-ItalicMT"/>
          <w:i/>
          <w:iCs/>
          <w:sz w:val="24"/>
          <w:szCs w:val="24"/>
        </w:rPr>
        <w:t xml:space="preserve">ν </w:t>
      </w:r>
      <w:r w:rsidRPr="004E544F">
        <w:rPr>
          <w:rFonts w:cs="TimesNewRoman"/>
          <w:sz w:val="24"/>
          <w:szCs w:val="24"/>
        </w:rPr>
        <w:t>tengelyre.</w:t>
      </w: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Default="0060600C" w:rsidP="0095717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60600C" w:rsidRPr="004E544F" w:rsidRDefault="0060600C" w:rsidP="00957172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  <w:u w:val="single"/>
        </w:rPr>
      </w:pPr>
    </w:p>
    <w:p w:rsidR="00957172" w:rsidRDefault="00957172" w:rsidP="00957172">
      <w:pPr>
        <w:autoSpaceDE w:val="0"/>
        <w:autoSpaceDN w:val="0"/>
        <w:adjustRightInd w:val="0"/>
        <w:spacing w:after="0" w:line="240" w:lineRule="auto"/>
        <w:rPr>
          <w:b/>
          <w:sz w:val="32"/>
          <w:szCs w:val="32"/>
          <w:u w:val="single"/>
        </w:rPr>
      </w:pPr>
    </w:p>
    <w:p w:rsidR="0017278E" w:rsidRPr="009876DD" w:rsidRDefault="0017278E" w:rsidP="009E6531">
      <w:pPr>
        <w:autoSpaceDE w:val="0"/>
        <w:autoSpaceDN w:val="0"/>
        <w:adjustRightInd w:val="0"/>
        <w:spacing w:after="0" w:line="240" w:lineRule="auto"/>
        <w:rPr>
          <w:b/>
          <w:sz w:val="32"/>
          <w:szCs w:val="32"/>
          <w:u w:val="single"/>
        </w:rPr>
      </w:pPr>
      <w:r w:rsidRPr="009876DD">
        <w:rPr>
          <w:b/>
          <w:sz w:val="32"/>
          <w:szCs w:val="32"/>
          <w:u w:val="single"/>
        </w:rPr>
        <w:lastRenderedPageBreak/>
        <w:t>Felhasznált irodalom:</w:t>
      </w:r>
    </w:p>
    <w:p w:rsidR="0017278E" w:rsidRDefault="0017278E" w:rsidP="0017278E">
      <w:pPr>
        <w:pStyle w:val="Listaszerbekezds"/>
        <w:numPr>
          <w:ilvl w:val="0"/>
          <w:numId w:val="4"/>
        </w:numPr>
        <w:rPr>
          <w:sz w:val="24"/>
          <w:szCs w:val="24"/>
        </w:rPr>
      </w:pPr>
      <w:r w:rsidRPr="002245AD">
        <w:rPr>
          <w:sz w:val="24"/>
          <w:szCs w:val="24"/>
        </w:rPr>
        <w:t>Ungár T., Vida A.: Segédlet a Gépelemek I-II. kötetéhez, TK., Bp., 1985.</w:t>
      </w:r>
    </w:p>
    <w:p w:rsidR="0060600C" w:rsidRPr="0060600C" w:rsidRDefault="0060600C" w:rsidP="0017278E">
      <w:pPr>
        <w:pStyle w:val="Listaszerbekezds"/>
        <w:numPr>
          <w:ilvl w:val="0"/>
          <w:numId w:val="4"/>
        </w:numPr>
        <w:rPr>
          <w:sz w:val="24"/>
          <w:szCs w:val="24"/>
        </w:rPr>
      </w:pPr>
      <w:r w:rsidRPr="0060600C">
        <w:rPr>
          <w:rFonts w:cs="TimesNewRoman"/>
          <w:sz w:val="24"/>
          <w:szCs w:val="24"/>
        </w:rPr>
        <w:t>SKF Főkatalógus. 4000 H. 1989.</w:t>
      </w:r>
    </w:p>
    <w:p w:rsidR="0017278E" w:rsidRDefault="0017278E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rPr>
          <w:sz w:val="24"/>
          <w:szCs w:val="24"/>
        </w:rPr>
      </w:pPr>
    </w:p>
    <w:p w:rsidR="009876DD" w:rsidRDefault="009876DD" w:rsidP="009876DD">
      <w:pPr>
        <w:pStyle w:val="Listaszerbekezds"/>
        <w:ind w:left="0"/>
        <w:rPr>
          <w:sz w:val="24"/>
          <w:szCs w:val="24"/>
        </w:rPr>
      </w:pPr>
      <w:r>
        <w:rPr>
          <w:sz w:val="24"/>
          <w:szCs w:val="24"/>
        </w:rPr>
        <w:t>Miskolc,</w:t>
      </w:r>
      <w:r w:rsidR="0060600C">
        <w:rPr>
          <w:sz w:val="24"/>
          <w:szCs w:val="24"/>
        </w:rPr>
        <w:t xml:space="preserve"> 2008. december 3</w:t>
      </w:r>
      <w:r>
        <w:rPr>
          <w:sz w:val="24"/>
          <w:szCs w:val="24"/>
        </w:rPr>
        <w:t>.</w:t>
      </w:r>
    </w:p>
    <w:p w:rsidR="009876DD" w:rsidRDefault="009876DD" w:rsidP="009876DD">
      <w:pPr>
        <w:pStyle w:val="Listaszerbekezds"/>
        <w:ind w:left="0"/>
        <w:rPr>
          <w:sz w:val="24"/>
          <w:szCs w:val="24"/>
        </w:rPr>
      </w:pPr>
    </w:p>
    <w:p w:rsidR="009876DD" w:rsidRDefault="009876DD" w:rsidP="009876DD">
      <w:pPr>
        <w:pStyle w:val="Listaszerbekezds"/>
        <w:ind w:left="0"/>
        <w:rPr>
          <w:sz w:val="24"/>
          <w:szCs w:val="24"/>
        </w:rPr>
      </w:pPr>
    </w:p>
    <w:p w:rsidR="009876DD" w:rsidRDefault="009876DD" w:rsidP="009876DD">
      <w:pPr>
        <w:pStyle w:val="Listaszerbekezds"/>
        <w:ind w:left="0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</w:t>
      </w:r>
    </w:p>
    <w:p w:rsidR="009876DD" w:rsidRPr="002245AD" w:rsidRDefault="009876DD" w:rsidP="009876DD">
      <w:pPr>
        <w:pStyle w:val="Listaszerbekezds"/>
        <w:ind w:left="0"/>
        <w:jc w:val="right"/>
        <w:rPr>
          <w:sz w:val="24"/>
          <w:szCs w:val="24"/>
        </w:rPr>
      </w:pPr>
      <w:r>
        <w:rPr>
          <w:sz w:val="24"/>
          <w:szCs w:val="24"/>
        </w:rPr>
        <w:t>Kocsi Péter Ákos</w:t>
      </w:r>
    </w:p>
    <w:sectPr w:rsidR="009876DD" w:rsidRPr="002245AD" w:rsidSect="009876DD">
      <w:footerReference w:type="default" r:id="rId12"/>
      <w:pgSz w:w="11906" w:h="16838"/>
      <w:pgMar w:top="1417" w:right="1417" w:bottom="1417" w:left="1417" w:header="708" w:footer="708" w:gutter="0"/>
      <w:pgNumType w:fmt="numberInDash"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E86" w:rsidRDefault="00E36E86" w:rsidP="009876DD">
      <w:pPr>
        <w:spacing w:after="0" w:line="240" w:lineRule="auto"/>
      </w:pPr>
      <w:r>
        <w:separator/>
      </w:r>
    </w:p>
  </w:endnote>
  <w:endnote w:type="continuationSeparator" w:id="1">
    <w:p w:rsidR="00E36E86" w:rsidRDefault="00E36E86" w:rsidP="00987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MS Mincho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334758"/>
      <w:docPartObj>
        <w:docPartGallery w:val="Page Numbers (Bottom of Page)"/>
        <w:docPartUnique/>
      </w:docPartObj>
    </w:sdtPr>
    <w:sdtContent>
      <w:p w:rsidR="00022DAF" w:rsidRDefault="00022DAF">
        <w:pPr>
          <w:pStyle w:val="llb"/>
          <w:jc w:val="center"/>
        </w:pPr>
        <w:fldSimple w:instr=" PAGE   \* MERGEFORMAT ">
          <w:r w:rsidR="0060600C">
            <w:rPr>
              <w:noProof/>
            </w:rPr>
            <w:t>- 8 -</w:t>
          </w:r>
        </w:fldSimple>
      </w:p>
    </w:sdtContent>
  </w:sdt>
  <w:p w:rsidR="00022DAF" w:rsidRDefault="00022DAF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E86" w:rsidRDefault="00E36E86" w:rsidP="009876DD">
      <w:pPr>
        <w:spacing w:after="0" w:line="240" w:lineRule="auto"/>
      </w:pPr>
      <w:r>
        <w:separator/>
      </w:r>
    </w:p>
  </w:footnote>
  <w:footnote w:type="continuationSeparator" w:id="1">
    <w:p w:rsidR="00E36E86" w:rsidRDefault="00E36E86" w:rsidP="009876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86C8C"/>
    <w:multiLevelType w:val="hybridMultilevel"/>
    <w:tmpl w:val="C54C8442"/>
    <w:lvl w:ilvl="0" w:tplc="040E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7A46B6"/>
    <w:multiLevelType w:val="hybridMultilevel"/>
    <w:tmpl w:val="C3701FC2"/>
    <w:lvl w:ilvl="0" w:tplc="36B669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E231B3"/>
    <w:multiLevelType w:val="hybridMultilevel"/>
    <w:tmpl w:val="CC905C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922610"/>
    <w:multiLevelType w:val="hybridMultilevel"/>
    <w:tmpl w:val="144ABB5A"/>
    <w:lvl w:ilvl="0" w:tplc="BDA4E81C">
      <w:start w:val="9"/>
      <w:numFmt w:val="bullet"/>
      <w:lvlText w:val="-"/>
      <w:lvlJc w:val="left"/>
      <w:pPr>
        <w:ind w:left="39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4">
    <w:nsid w:val="65037DC8"/>
    <w:multiLevelType w:val="hybridMultilevel"/>
    <w:tmpl w:val="210AF46A"/>
    <w:lvl w:ilvl="0" w:tplc="A1AA7EB4">
      <w:numFmt w:val="bullet"/>
      <w:lvlText w:val="-"/>
      <w:lvlJc w:val="left"/>
      <w:pPr>
        <w:ind w:left="405" w:hanging="360"/>
      </w:pPr>
      <w:rPr>
        <w:rFonts w:ascii="Calibri" w:eastAsiaTheme="minorHAnsi" w:hAnsi="Calibri" w:cs="TimesNewRoman" w:hint="default"/>
      </w:rPr>
    </w:lvl>
    <w:lvl w:ilvl="1" w:tplc="040E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511169"/>
    <w:rsid w:val="00022DAF"/>
    <w:rsid w:val="00115D2F"/>
    <w:rsid w:val="001359D3"/>
    <w:rsid w:val="0017278E"/>
    <w:rsid w:val="0019283B"/>
    <w:rsid w:val="001C6AC5"/>
    <w:rsid w:val="001F3491"/>
    <w:rsid w:val="002245AD"/>
    <w:rsid w:val="00225F98"/>
    <w:rsid w:val="00232B0E"/>
    <w:rsid w:val="002E3943"/>
    <w:rsid w:val="003B1463"/>
    <w:rsid w:val="003D2E8C"/>
    <w:rsid w:val="004D78EF"/>
    <w:rsid w:val="004E544F"/>
    <w:rsid w:val="00511169"/>
    <w:rsid w:val="00521DB9"/>
    <w:rsid w:val="005A4E3B"/>
    <w:rsid w:val="005E7448"/>
    <w:rsid w:val="0060600C"/>
    <w:rsid w:val="006500FB"/>
    <w:rsid w:val="006B4972"/>
    <w:rsid w:val="006F2EF3"/>
    <w:rsid w:val="00723078"/>
    <w:rsid w:val="00751242"/>
    <w:rsid w:val="00773EFD"/>
    <w:rsid w:val="00777D40"/>
    <w:rsid w:val="00801B9A"/>
    <w:rsid w:val="00843719"/>
    <w:rsid w:val="008C6F7E"/>
    <w:rsid w:val="0090335E"/>
    <w:rsid w:val="00957172"/>
    <w:rsid w:val="009876DD"/>
    <w:rsid w:val="009917D8"/>
    <w:rsid w:val="009E24F0"/>
    <w:rsid w:val="009E6531"/>
    <w:rsid w:val="00A1239E"/>
    <w:rsid w:val="00A41AB5"/>
    <w:rsid w:val="00A61CF8"/>
    <w:rsid w:val="00A97833"/>
    <w:rsid w:val="00AA3296"/>
    <w:rsid w:val="00AE7F9E"/>
    <w:rsid w:val="00B314A0"/>
    <w:rsid w:val="00B46255"/>
    <w:rsid w:val="00B54121"/>
    <w:rsid w:val="00BB103D"/>
    <w:rsid w:val="00C874D0"/>
    <w:rsid w:val="00CA013A"/>
    <w:rsid w:val="00CB32B7"/>
    <w:rsid w:val="00CC170E"/>
    <w:rsid w:val="00CE406B"/>
    <w:rsid w:val="00D97E89"/>
    <w:rsid w:val="00E36E86"/>
    <w:rsid w:val="00E41D5E"/>
    <w:rsid w:val="00E4439C"/>
    <w:rsid w:val="00E54F52"/>
    <w:rsid w:val="00E708B8"/>
    <w:rsid w:val="00EA2D5D"/>
    <w:rsid w:val="00EE078D"/>
    <w:rsid w:val="00F637FD"/>
    <w:rsid w:val="00FD3B2D"/>
    <w:rsid w:val="00FD4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A013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11169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843719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43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43719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semiHidden/>
    <w:unhideWhenUsed/>
    <w:rsid w:val="009876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9876DD"/>
  </w:style>
  <w:style w:type="paragraph" w:styleId="llb">
    <w:name w:val="footer"/>
    <w:basedOn w:val="Norml"/>
    <w:link w:val="llbChar"/>
    <w:uiPriority w:val="99"/>
    <w:unhideWhenUsed/>
    <w:rsid w:val="009876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876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MS Mincho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E72156"/>
    <w:rsid w:val="00E72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E72156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B7274-F1BE-4D23-8284-3A611E401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8</Pages>
  <Words>1055</Words>
  <Characters>7284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peti</dc:creator>
  <cp:keywords/>
  <dc:description/>
  <cp:lastModifiedBy>peti</cp:lastModifiedBy>
  <cp:revision>5</cp:revision>
  <dcterms:created xsi:type="dcterms:W3CDTF">2008-11-24T14:36:00Z</dcterms:created>
  <dcterms:modified xsi:type="dcterms:W3CDTF">2008-12-03T11:10:00Z</dcterms:modified>
</cp:coreProperties>
</file>