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7C" w:rsidRPr="002F237C" w:rsidRDefault="002F237C" w:rsidP="002F237C">
      <w:pPr>
        <w:shd w:val="clear" w:color="auto" w:fill="F2F2F2"/>
        <w:spacing w:after="0" w:line="405" w:lineRule="atLeast"/>
        <w:ind w:right="600"/>
        <w:outlineLvl w:val="0"/>
        <w:rPr>
          <w:rFonts w:ascii="Georgia" w:eastAsia="Times New Roman" w:hAnsi="Georgia" w:cs="Times New Roman"/>
          <w:color w:val="191919"/>
          <w:kern w:val="36"/>
          <w:sz w:val="36"/>
          <w:szCs w:val="36"/>
          <w:lang w:eastAsia="hu-HU"/>
        </w:rPr>
      </w:pPr>
      <w:r w:rsidRPr="002F237C">
        <w:rPr>
          <w:rFonts w:ascii="Georgia" w:eastAsia="Times New Roman" w:hAnsi="Georgia" w:cs="Times New Roman"/>
          <w:color w:val="191919"/>
          <w:kern w:val="36"/>
          <w:sz w:val="36"/>
          <w:szCs w:val="36"/>
          <w:lang w:eastAsia="hu-HU"/>
        </w:rPr>
        <w:t>GYOD - Gyermekek otthongondozási díja</w:t>
      </w:r>
    </w:p>
    <w:p w:rsidR="00401482" w:rsidRDefault="00D20401"/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Milyen ellátás a GYOD?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0"/>
          <w:szCs w:val="20"/>
        </w:rPr>
        <w:t xml:space="preserve">A tartósan beteg vagy súlyosan fogyatékos gyermeküket </w:t>
      </w:r>
      <w:proofErr w:type="gramStart"/>
      <w:r>
        <w:rPr>
          <w:rFonts w:ascii="Arial" w:hAnsi="Arial" w:cs="Arial"/>
          <w:color w:val="40403D"/>
          <w:sz w:val="20"/>
          <w:szCs w:val="20"/>
        </w:rPr>
        <w:t>otthon ápolók</w:t>
      </w:r>
      <w:proofErr w:type="gramEnd"/>
      <w:r>
        <w:rPr>
          <w:rFonts w:ascii="Arial" w:hAnsi="Arial" w:cs="Arial"/>
          <w:color w:val="40403D"/>
          <w:sz w:val="20"/>
          <w:szCs w:val="20"/>
        </w:rPr>
        <w:t xml:space="preserve"> részére folyósított ellátás (GYOD).</w:t>
      </w:r>
      <w:r>
        <w:rPr>
          <w:rFonts w:ascii="Arial" w:hAnsi="Arial" w:cs="Arial"/>
          <w:color w:val="40403D"/>
          <w:sz w:val="21"/>
          <w:szCs w:val="21"/>
        </w:rPr>
        <w:t> Összege </w:t>
      </w:r>
      <w:r>
        <w:rPr>
          <w:rFonts w:ascii="Arial" w:hAnsi="Arial" w:cs="Arial"/>
          <w:b/>
          <w:bCs/>
          <w:color w:val="40403D"/>
          <w:sz w:val="21"/>
          <w:szCs w:val="21"/>
        </w:rPr>
        <w:t>bruttó 147.315 forint</w:t>
      </w:r>
      <w:r>
        <w:rPr>
          <w:rFonts w:ascii="Arial" w:hAnsi="Arial" w:cs="Arial"/>
          <w:color w:val="40403D"/>
          <w:sz w:val="21"/>
          <w:szCs w:val="21"/>
        </w:rPr>
        <w:t> és a gyermek életkorától függetlenül folyósítható.</w:t>
      </w:r>
      <w:r>
        <w:rPr>
          <w:rFonts w:ascii="Arial" w:hAnsi="Arial" w:cs="Arial"/>
          <w:color w:val="40403D"/>
          <w:sz w:val="21"/>
          <w:szCs w:val="21"/>
        </w:rPr>
        <w:br/>
        <w:t>Két gyermek ápolása esetén </w:t>
      </w:r>
      <w:r>
        <w:rPr>
          <w:rFonts w:ascii="Arial" w:hAnsi="Arial" w:cs="Arial"/>
          <w:b/>
          <w:bCs/>
          <w:color w:val="40403D"/>
          <w:sz w:val="21"/>
          <w:szCs w:val="21"/>
        </w:rPr>
        <w:t>bruttó 220.965</w:t>
      </w:r>
      <w:r>
        <w:rPr>
          <w:rFonts w:ascii="Arial" w:hAnsi="Arial" w:cs="Arial"/>
          <w:color w:val="40403D"/>
          <w:sz w:val="21"/>
          <w:szCs w:val="21"/>
        </w:rPr>
        <w:t> forint.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Hol található a GYOD igénylésére szolgáló kérelem-nyomtatvány?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 xml:space="preserve">A kérelem-nyomtatvány megtalálható a kormányhivatalok honlapján. Jelen esetben </w:t>
      </w:r>
      <w:proofErr w:type="spellStart"/>
      <w:r>
        <w:rPr>
          <w:rFonts w:ascii="Arial" w:hAnsi="Arial" w:cs="Arial"/>
          <w:color w:val="40403D"/>
          <w:sz w:val="21"/>
          <w:szCs w:val="21"/>
        </w:rPr>
        <w:t>tájékoztatónk</w:t>
      </w:r>
      <w:proofErr w:type="spellEnd"/>
      <w:r>
        <w:rPr>
          <w:rFonts w:ascii="Arial" w:hAnsi="Arial" w:cs="Arial"/>
          <w:color w:val="40403D"/>
          <w:sz w:val="21"/>
          <w:szCs w:val="21"/>
        </w:rPr>
        <w:t xml:space="preserve"> végén.</w:t>
      </w:r>
      <w:r>
        <w:rPr>
          <w:rFonts w:ascii="Arial" w:hAnsi="Arial" w:cs="Arial"/>
          <w:color w:val="40403D"/>
          <w:sz w:val="21"/>
          <w:szCs w:val="21"/>
        </w:rPr>
        <w:br/>
        <w:t>A nyomtatvány papír alapon elérhető valamennyi kerületi (járási) hivatalnál, kormányablaknál és polgármesteri hivatalnál.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Hol lehet a kérelmet benyújtani?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A GYOD iránti kérelmet a kérelmező lakcíme szerint illetékes </w:t>
      </w:r>
      <w:hyperlink r:id="rId5" w:history="1">
        <w:r>
          <w:rPr>
            <w:rStyle w:val="Hiperhivatkozs"/>
            <w:rFonts w:ascii="Arial" w:hAnsi="Arial" w:cs="Arial"/>
            <w:b/>
            <w:bCs/>
            <w:color w:val="053D88"/>
            <w:sz w:val="21"/>
            <w:szCs w:val="21"/>
            <w:u w:val="none"/>
          </w:rPr>
          <w:t>kerületi (járási) hivatal</w:t>
        </w:r>
        <w:r>
          <w:rPr>
            <w:rStyle w:val="Hiperhivatkozs"/>
            <w:rFonts w:ascii="Arial" w:hAnsi="Arial" w:cs="Arial"/>
            <w:color w:val="053D88"/>
            <w:sz w:val="21"/>
            <w:szCs w:val="21"/>
            <w:u w:val="none"/>
          </w:rPr>
          <w:t>nál</w:t>
        </w:r>
      </w:hyperlink>
      <w:r>
        <w:rPr>
          <w:rFonts w:ascii="Arial" w:hAnsi="Arial" w:cs="Arial"/>
          <w:color w:val="40403D"/>
          <w:sz w:val="21"/>
          <w:szCs w:val="21"/>
        </w:rPr>
        <w:t>, a kérelmező lakcíme szerint illetékes települési önkormányzat polgármesteri hivatalánál vagy közös önkormányzati hivatalánál, valamint a </w:t>
      </w:r>
      <w:hyperlink r:id="rId6" w:history="1">
        <w:r>
          <w:rPr>
            <w:rStyle w:val="Hiperhivatkozs"/>
            <w:rFonts w:ascii="Arial" w:hAnsi="Arial" w:cs="Arial"/>
            <w:b/>
            <w:bCs/>
            <w:color w:val="053D88"/>
            <w:sz w:val="21"/>
            <w:szCs w:val="21"/>
            <w:u w:val="none"/>
          </w:rPr>
          <w:t>kormányablaknál</w:t>
        </w:r>
      </w:hyperlink>
      <w:r>
        <w:rPr>
          <w:rFonts w:ascii="Arial" w:hAnsi="Arial" w:cs="Arial"/>
          <w:color w:val="40403D"/>
          <w:sz w:val="21"/>
          <w:szCs w:val="21"/>
        </w:rPr>
        <w:t> lehet benyújtani.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FONTOS TUDNI: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numPr>
          <w:ilvl w:val="0"/>
          <w:numId w:val="8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GYOD mellett GYET megállapítása és folyósítása nem kizárt.</w:t>
      </w:r>
    </w:p>
    <w:p w:rsidR="00D20401" w:rsidRDefault="00D20401" w:rsidP="00D20401">
      <w:pPr>
        <w:numPr>
          <w:ilvl w:val="0"/>
          <w:numId w:val="8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Nem ugyanazon gyermek után folyósított GYOD teljes összegben megilleti a jogosultat a másik gyermek után folyósított GYES összege mellett.</w:t>
      </w:r>
    </w:p>
    <w:p w:rsidR="00D20401" w:rsidRDefault="00D20401" w:rsidP="00D20401">
      <w:pPr>
        <w:numPr>
          <w:ilvl w:val="0"/>
          <w:numId w:val="8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Amennyiben ugyanazon gyermek után az egyik szülő GYOD-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igényel, a másik szülő GYES igényét az nem befolyásolja.</w:t>
      </w:r>
    </w:p>
    <w:p w:rsidR="00D20401" w:rsidRDefault="00D20401" w:rsidP="00D20401">
      <w:pPr>
        <w:numPr>
          <w:ilvl w:val="0"/>
          <w:numId w:val="8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Ugyanazon gyermek után ugyanaz a személy részére folyósított GYES mellett a GYOD összege megegyezik a GYOD és a GYES különbözetének összegével.</w:t>
      </w:r>
    </w:p>
    <w:p w:rsidR="00D20401" w:rsidRDefault="00D20401" w:rsidP="00D20401">
      <w:pPr>
        <w:pStyle w:val="NormlWeb"/>
        <w:shd w:val="clear" w:color="auto" w:fill="F2F2F2"/>
        <w:spacing w:before="0" w:beforeAutospacing="0" w:after="300" w:afterAutospacing="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Mennyi az ellátás összege, ha a szülő egyidejűleg több tartósan beteg vagy fogyatékos gyermek ellátásáról gondoskodik?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Ha a szülő több olyan gyermekéről is gondoskodik, akire tekintettel a GYOD-</w:t>
      </w:r>
      <w:proofErr w:type="spellStart"/>
      <w:r>
        <w:rPr>
          <w:rFonts w:ascii="Arial" w:hAnsi="Arial" w:cs="Arial"/>
          <w:color w:val="40403D"/>
          <w:sz w:val="21"/>
          <w:szCs w:val="21"/>
        </w:rPr>
        <w:t>ra</w:t>
      </w:r>
      <w:proofErr w:type="spellEnd"/>
      <w:r>
        <w:rPr>
          <w:rFonts w:ascii="Arial" w:hAnsi="Arial" w:cs="Arial"/>
          <w:color w:val="40403D"/>
          <w:sz w:val="21"/>
          <w:szCs w:val="21"/>
        </w:rPr>
        <w:t xml:space="preserve"> való jogosultsága megállapítható lenne, az ellátás összege - e feltételek fennállásának időtartama alatt – a fenti összeg másfélszerese, azaz </w:t>
      </w:r>
      <w:r>
        <w:rPr>
          <w:rFonts w:ascii="Arial" w:hAnsi="Arial" w:cs="Arial"/>
          <w:b/>
          <w:bCs/>
          <w:color w:val="40403D"/>
          <w:sz w:val="21"/>
          <w:szCs w:val="21"/>
        </w:rPr>
        <w:t>bruttó 185.865 Ft.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Ki jogosult a GYOD-</w:t>
      </w:r>
      <w:proofErr w:type="spellStart"/>
      <w:r>
        <w:rPr>
          <w:rFonts w:ascii="Arial" w:hAnsi="Arial" w:cs="Arial"/>
          <w:b/>
          <w:bCs/>
          <w:color w:val="40403D"/>
          <w:sz w:val="21"/>
          <w:szCs w:val="21"/>
        </w:rPr>
        <w:t>ra</w:t>
      </w:r>
      <w:proofErr w:type="spellEnd"/>
      <w:r>
        <w:rPr>
          <w:rFonts w:ascii="Arial" w:hAnsi="Arial" w:cs="Arial"/>
          <w:b/>
          <w:bCs/>
          <w:color w:val="40403D"/>
          <w:sz w:val="21"/>
          <w:szCs w:val="21"/>
        </w:rPr>
        <w:t>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A gyermek életkorától függetlenül a GYOD-</w:t>
      </w:r>
      <w:proofErr w:type="spellStart"/>
      <w:r>
        <w:rPr>
          <w:rFonts w:ascii="Arial" w:hAnsi="Arial" w:cs="Arial"/>
          <w:color w:val="40403D"/>
          <w:sz w:val="21"/>
          <w:szCs w:val="21"/>
        </w:rPr>
        <w:t>ra</w:t>
      </w:r>
      <w:proofErr w:type="spellEnd"/>
      <w:r>
        <w:rPr>
          <w:rFonts w:ascii="Arial" w:hAnsi="Arial" w:cs="Arial"/>
          <w:color w:val="40403D"/>
          <w:sz w:val="21"/>
          <w:szCs w:val="21"/>
        </w:rPr>
        <w:t xml:space="preserve"> jogosult az a vér szerinti vagy örökbefogadó szülő, aki</w:t>
      </w:r>
    </w:p>
    <w:p w:rsidR="00D20401" w:rsidRDefault="00D20401" w:rsidP="00D20401">
      <w:pPr>
        <w:numPr>
          <w:ilvl w:val="0"/>
          <w:numId w:val="9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súlyos fogyatékosságából eredően önellátásra képtelen vér szerinti vagy örökbe fogadott gyermekéről, vagy</w:t>
      </w:r>
    </w:p>
    <w:p w:rsidR="00D20401" w:rsidRDefault="00D20401" w:rsidP="00D20401">
      <w:pPr>
        <w:numPr>
          <w:ilvl w:val="0"/>
          <w:numId w:val="9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a tartós betegségéből eredően önellátásra képtelen gyermekéről gondoskodik.</w:t>
      </w:r>
    </w:p>
    <w:p w:rsidR="00D20401" w:rsidRDefault="00D20401" w:rsidP="00D20401">
      <w:pPr>
        <w:pStyle w:val="NormlWeb"/>
        <w:shd w:val="clear" w:color="auto" w:fill="F2F2F2"/>
        <w:spacing w:before="0" w:beforeAutospacing="0" w:after="300" w:afterAutospacing="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A szülőn kívül más személy részére is megállapítható a GYOD?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Igen, a gyermekkel közös háztartásban élő hozzátartozója számára is megállapítható az ellátás, ha a szülőnek a GYOD-</w:t>
      </w:r>
      <w:proofErr w:type="spellStart"/>
      <w:r>
        <w:rPr>
          <w:rFonts w:ascii="Arial" w:hAnsi="Arial" w:cs="Arial"/>
          <w:color w:val="40403D"/>
          <w:sz w:val="21"/>
          <w:szCs w:val="21"/>
        </w:rPr>
        <w:t>ra</w:t>
      </w:r>
      <w:proofErr w:type="spellEnd"/>
      <w:r>
        <w:rPr>
          <w:rFonts w:ascii="Arial" w:hAnsi="Arial" w:cs="Arial"/>
          <w:color w:val="40403D"/>
          <w:sz w:val="21"/>
          <w:szCs w:val="21"/>
        </w:rPr>
        <w:t xml:space="preserve"> való jogosultságát a gyermekre tekintettel korábban már megállapították, de</w:t>
      </w:r>
    </w:p>
    <w:p w:rsidR="00D20401" w:rsidRDefault="00D20401" w:rsidP="00D20401">
      <w:pPr>
        <w:numPr>
          <w:ilvl w:val="0"/>
          <w:numId w:val="10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szülő meghalt,</w:t>
      </w:r>
    </w:p>
    <w:p w:rsidR="00D20401" w:rsidRDefault="00D20401" w:rsidP="00D20401">
      <w:pPr>
        <w:numPr>
          <w:ilvl w:val="0"/>
          <w:numId w:val="10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szülői felügyeleti joga szünetel, illetve azt a bíróság megszüntette, vagy</w:t>
      </w:r>
    </w:p>
    <w:p w:rsidR="00D20401" w:rsidRDefault="00D20401" w:rsidP="00D20401">
      <w:pPr>
        <w:numPr>
          <w:ilvl w:val="0"/>
          <w:numId w:val="10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szülő a gyermek állandó és tartós gondozásában a saját egészségi állapotára figyelemmel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akadályozottá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vált.</w:t>
      </w:r>
    </w:p>
    <w:p w:rsidR="00D20401" w:rsidRDefault="00D20401" w:rsidP="00D20401">
      <w:pPr>
        <w:pStyle w:val="NormlWeb"/>
        <w:shd w:val="clear" w:color="auto" w:fill="F2F2F2"/>
        <w:spacing w:before="0" w:beforeAutospacing="0" w:after="300" w:afterAutospacing="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A GYOD megállapítása iránti kérelem a fenti körülmények bekövetkezésétől számított három hónapon belül nyújtható be.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Kit tekintünk súlyosan fogyatékos gyermeknek?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Súlyosan fogyatékos személy az, akinek</w:t>
      </w:r>
    </w:p>
    <w:p w:rsidR="00D20401" w:rsidRDefault="00D20401" w:rsidP="00D20401">
      <w:pPr>
        <w:numPr>
          <w:ilvl w:val="0"/>
          <w:numId w:val="11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segédeszközzel vagy műtéti úton nem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korrigálható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módon látóképessége teljesen hiányzik, vagy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aliglátóként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minimális látásmaradvánnyal rendelkezik, és ezért kizárólag tapintó - halló - életmód folytatására képes,</w:t>
      </w:r>
    </w:p>
    <w:p w:rsidR="00D20401" w:rsidRDefault="00D20401" w:rsidP="00D20401">
      <w:pPr>
        <w:numPr>
          <w:ilvl w:val="0"/>
          <w:numId w:val="11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:rsidR="00D20401" w:rsidRDefault="00D20401" w:rsidP="00D20401">
      <w:pPr>
        <w:numPr>
          <w:ilvl w:val="0"/>
          <w:numId w:val="11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értelmi akadályozottsága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genetikai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pervazív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fejlődési zavarban szenved, és az autonómiai tesztek alapján állapota súlyosnak vagy középsúlyosnak minősíthető (BNO szerinti besorolása: F84.0-F84.9),</w:t>
      </w:r>
    </w:p>
    <w:p w:rsidR="00D20401" w:rsidRDefault="00D20401" w:rsidP="00D20401">
      <w:pPr>
        <w:numPr>
          <w:ilvl w:val="0"/>
          <w:numId w:val="11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képes.</w:t>
      </w:r>
    </w:p>
    <w:p w:rsidR="00D20401" w:rsidRDefault="00D20401" w:rsidP="00D20401">
      <w:pPr>
        <w:pStyle w:val="NormlWeb"/>
        <w:shd w:val="clear" w:color="auto" w:fill="F2F2F2"/>
        <w:spacing w:before="0" w:beforeAutospacing="0" w:after="300" w:afterAutospacing="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Az ellátásra való jogosultság szempontjából kit tekinthetünk tartósan beteg gyermeknek?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Tartósan beteg a gyermek, ha egészségi állapotára figyelemmel előreláthatóan három hónapnál hosszabb időtartamban ápolásra, gondozásra szorul.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Kit tekintünk önellátásra képtelen gyermeknek?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 xml:space="preserve">Önellátásra képtelen a gyermek, ha a szakértő e tényt szakvéleményben megállapítja. Az önellátásra való képtelenség megállapításának szempontrendszerét a 63/2006. III. 27. Korm. rend. 1. sz. melléklete tartalmazza. 6 év alatti ápolt gyermek esetében az önellátási képesség mértékét és az önellátásra való képtelenség tényét a magasabb összegű családi pótlékra </w:t>
      </w:r>
      <w:r>
        <w:rPr>
          <w:rFonts w:ascii="Arial" w:hAnsi="Arial" w:cs="Arial"/>
          <w:color w:val="40403D"/>
          <w:sz w:val="21"/>
          <w:szCs w:val="21"/>
        </w:rPr>
        <w:lastRenderedPageBreak/>
        <w:t>jogosító betegségek és fogyatékosságok igazolására jogosult szakorvos, hat év feletti gyermek esetén a járási hivatal által kirendelt szakértő igazolja.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Milyen iratokat kell a kérelemhez mellékelni?</w:t>
      </w:r>
      <w:r>
        <w:rPr>
          <w:rFonts w:ascii="Arial" w:hAnsi="Arial" w:cs="Arial"/>
          <w:color w:val="40403D"/>
          <w:sz w:val="21"/>
          <w:szCs w:val="21"/>
        </w:rPr>
        <w:br/>
        <w:t>A GYOD iránti kérelemhez mellékelni kell: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numPr>
          <w:ilvl w:val="0"/>
          <w:numId w:val="12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év alatti ápolt gyermek esetén a magasabb összegű családi pótlékra jogosító igazolás kiállítására is jogosult szakorvos szakorvosi véleményét az ápolt gyermek súlyosan fogyatékos vagy tartósan beteg állapotáról, illetve önellátási képességének mértékéről,</w:t>
      </w:r>
    </w:p>
    <w:p w:rsidR="00D20401" w:rsidRDefault="00D20401" w:rsidP="00D20401">
      <w:pPr>
        <w:numPr>
          <w:ilvl w:val="0"/>
          <w:numId w:val="12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hatodik életévét betöltött ápolt gyermek esetén a háziorvos vagy házi gyermekorvos (háziorvos) igazolását arról, hogy az ápolt gyermek súlyosan fogyatékos vagy tartósan beteg, és</w:t>
      </w:r>
    </w:p>
    <w:p w:rsidR="00D20401" w:rsidRDefault="00D20401" w:rsidP="00D20401">
      <w:pPr>
        <w:numPr>
          <w:ilvl w:val="0"/>
          <w:numId w:val="12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oktatási intézmény (óvoda, köznevelési, felsőoktatási intézmény) esetén az intézmény vezetőjének igazolását az intézményben való tartózkodás időtartamáról.</w:t>
      </w:r>
    </w:p>
    <w:p w:rsidR="00D20401" w:rsidRDefault="00D20401" w:rsidP="00D20401">
      <w:pPr>
        <w:pStyle w:val="NormlWeb"/>
        <w:shd w:val="clear" w:color="auto" w:fill="F2F2F2"/>
        <w:spacing w:before="0" w:beforeAutospacing="0" w:after="300" w:afterAutospacing="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A háziorvos az igazolást milyen dokumentációk alapján állítja ki?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A háziorvos az igazolást</w:t>
      </w:r>
    </w:p>
    <w:p w:rsidR="00D20401" w:rsidRDefault="00D20401" w:rsidP="00D20401">
      <w:pPr>
        <w:numPr>
          <w:ilvl w:val="0"/>
          <w:numId w:val="13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</w:p>
    <w:p w:rsidR="00D20401" w:rsidRDefault="00D20401" w:rsidP="00D20401">
      <w:pPr>
        <w:numPr>
          <w:ilvl w:val="0"/>
          <w:numId w:val="13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szakmailag illetékes szakfelügyelő főorvos igazolása,</w:t>
      </w:r>
    </w:p>
    <w:p w:rsidR="00D20401" w:rsidRDefault="00D20401" w:rsidP="00D20401">
      <w:pPr>
        <w:numPr>
          <w:ilvl w:val="0"/>
          <w:numId w:val="13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fekvőbeteg-szakellátást nyújtó intézmény vagy területileg illetékes szakrendelő intézet szakorvosa által kiadott zárójelentés, igazolás, vagy</w:t>
      </w:r>
    </w:p>
    <w:p w:rsidR="00D20401" w:rsidRDefault="00D20401" w:rsidP="00D20401">
      <w:pPr>
        <w:numPr>
          <w:ilvl w:val="0"/>
          <w:numId w:val="13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 alapján állítja ki.</w:t>
      </w:r>
    </w:p>
    <w:p w:rsidR="00D20401" w:rsidRDefault="00D20401" w:rsidP="00D20401">
      <w:pPr>
        <w:pStyle w:val="NormlWeb"/>
        <w:shd w:val="clear" w:color="auto" w:fill="F2F2F2"/>
        <w:spacing w:before="0" w:beforeAutospacing="0" w:after="300" w:afterAutospacing="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 xml:space="preserve">Mely esetben nem kell a kérelemhez mellékelni a háziorvos </w:t>
      </w:r>
      <w:proofErr w:type="spellStart"/>
      <w:r>
        <w:rPr>
          <w:rFonts w:ascii="Arial" w:hAnsi="Arial" w:cs="Arial"/>
          <w:b/>
          <w:bCs/>
          <w:color w:val="40403D"/>
          <w:sz w:val="21"/>
          <w:szCs w:val="21"/>
        </w:rPr>
        <w:t>igazolását</w:t>
      </w:r>
      <w:proofErr w:type="gramStart"/>
      <w:r>
        <w:rPr>
          <w:rFonts w:ascii="Arial" w:hAnsi="Arial" w:cs="Arial"/>
          <w:b/>
          <w:bCs/>
          <w:color w:val="40403D"/>
          <w:sz w:val="21"/>
          <w:szCs w:val="21"/>
        </w:rPr>
        <w:t>?</w:t>
      </w:r>
      <w:r>
        <w:rPr>
          <w:rFonts w:ascii="Arial" w:hAnsi="Arial" w:cs="Arial"/>
          <w:color w:val="40403D"/>
          <w:sz w:val="21"/>
          <w:szCs w:val="21"/>
        </w:rPr>
        <w:t>Ha</w:t>
      </w:r>
      <w:proofErr w:type="spellEnd"/>
      <w:proofErr w:type="gramEnd"/>
      <w:r>
        <w:rPr>
          <w:rFonts w:ascii="Arial" w:hAnsi="Arial" w:cs="Arial"/>
          <w:color w:val="40403D"/>
          <w:sz w:val="21"/>
          <w:szCs w:val="21"/>
        </w:rPr>
        <w:t xml:space="preserve"> az ápolt gyermeknek</w:t>
      </w:r>
    </w:p>
    <w:p w:rsidR="00D20401" w:rsidRDefault="00D20401" w:rsidP="00D20401">
      <w:pPr>
        <w:numPr>
          <w:ilvl w:val="0"/>
          <w:numId w:val="14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fogyatékossági támogatásra</w:t>
      </w:r>
    </w:p>
    <w:p w:rsidR="00D20401" w:rsidRDefault="00D20401" w:rsidP="00D20401">
      <w:pPr>
        <w:numPr>
          <w:ilvl w:val="0"/>
          <w:numId w:val="14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vakok személyi járadékára vagy</w:t>
      </w:r>
    </w:p>
    <w:p w:rsidR="00D20401" w:rsidRDefault="00D20401" w:rsidP="00D20401">
      <w:pPr>
        <w:numPr>
          <w:ilvl w:val="0"/>
          <w:numId w:val="14"/>
        </w:numPr>
        <w:shd w:val="clear" w:color="auto" w:fill="F2F2F2"/>
        <w:spacing w:before="90" w:after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rokkantsági járadékra való jogosultsága áll fenn.</w:t>
      </w:r>
    </w:p>
    <w:p w:rsidR="00D20401" w:rsidRDefault="00D20401" w:rsidP="00D20401">
      <w:pPr>
        <w:pStyle w:val="NormlWeb"/>
        <w:shd w:val="clear" w:color="auto" w:fill="F2F2F2"/>
        <w:spacing w:before="0" w:beforeAutospacing="0" w:after="300" w:afterAutospacing="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 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Mennyi az ellátás összege, ha az igénylő személy más rendszeres pénzellátásban pl. nyugellátásban részesül?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 xml:space="preserve">Főszabályként a GYOD havi összege a más rendszeres pénzellátásban részesülő jogosult esetén a fent említett összegnek és a jogosult részére folyósított más rendszeres pénzellátás </w:t>
      </w:r>
      <w:r>
        <w:rPr>
          <w:rFonts w:ascii="Arial" w:hAnsi="Arial" w:cs="Arial"/>
          <w:color w:val="40403D"/>
          <w:sz w:val="21"/>
          <w:szCs w:val="21"/>
        </w:rPr>
        <w:lastRenderedPageBreak/>
        <w:t>havi bruttó összegének a különbözete. Ha a különbözet az ezer forintot nem éri el, a jogosult részére ezer forint összegű ellátást kell megállapítani.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b/>
          <w:bCs/>
          <w:color w:val="40403D"/>
          <w:sz w:val="21"/>
          <w:szCs w:val="21"/>
        </w:rPr>
        <w:t>Mennyi az ellátás összege, ha a szülő a fogyatékos gyermek testvérére tekintettel pl. csecsemőgondozási díjban, vagy gyermekgondozási díjban vagy gyermekgondozást segítő ellátásban részesül?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Ha a szülő nem a fogyatékos gyermekre tekintettel részesül más, a gyermekek után folyósítható ellátásban, ebben az esetben a GYOD teljes összegben (123.910 Ft) kerül megállapításra. Ugyanezen szabály érvényesül akkor is, ha a szülő a három vagy több kiskorú gyermek nevelése esetén gyermeknevelési támogatásban részesül.</w:t>
      </w:r>
    </w:p>
    <w:p w:rsidR="00D20401" w:rsidRDefault="00D20401" w:rsidP="00D20401">
      <w:pPr>
        <w:shd w:val="clear" w:color="auto" w:fill="F2F2F2"/>
        <w:spacing w:after="300" w:line="300" w:lineRule="atLeast"/>
        <w:rPr>
          <w:rFonts w:ascii="Arial" w:hAnsi="Arial" w:cs="Arial"/>
          <w:color w:val="40403D"/>
          <w:sz w:val="21"/>
          <w:szCs w:val="21"/>
        </w:rPr>
      </w:pPr>
      <w:r>
        <w:rPr>
          <w:rFonts w:ascii="Arial" w:hAnsi="Arial" w:cs="Arial"/>
          <w:color w:val="40403D"/>
          <w:sz w:val="21"/>
          <w:szCs w:val="21"/>
        </w:rPr>
        <w:t>V</w:t>
      </w:r>
      <w:r>
        <w:rPr>
          <w:rFonts w:ascii="Arial" w:hAnsi="Arial" w:cs="Arial"/>
          <w:b/>
          <w:bCs/>
          <w:color w:val="40403D"/>
          <w:sz w:val="21"/>
          <w:szCs w:val="21"/>
        </w:rPr>
        <w:t>onnak-e járulékot a GYOD-</w:t>
      </w:r>
      <w:proofErr w:type="spellStart"/>
      <w:r>
        <w:rPr>
          <w:rFonts w:ascii="Arial" w:hAnsi="Arial" w:cs="Arial"/>
          <w:b/>
          <w:bCs/>
          <w:color w:val="40403D"/>
          <w:sz w:val="21"/>
          <w:szCs w:val="21"/>
        </w:rPr>
        <w:t>ból</w:t>
      </w:r>
      <w:proofErr w:type="spellEnd"/>
      <w:r>
        <w:rPr>
          <w:rFonts w:ascii="Arial" w:hAnsi="Arial" w:cs="Arial"/>
          <w:b/>
          <w:bCs/>
          <w:color w:val="40403D"/>
          <w:sz w:val="21"/>
          <w:szCs w:val="21"/>
        </w:rPr>
        <w:t>?</w:t>
      </w:r>
      <w:r>
        <w:rPr>
          <w:rFonts w:ascii="Arial" w:hAnsi="Arial" w:cs="Arial"/>
          <w:b/>
          <w:bCs/>
          <w:color w:val="40403D"/>
          <w:sz w:val="21"/>
          <w:szCs w:val="21"/>
        </w:rPr>
        <w:br/>
      </w:r>
      <w:r>
        <w:rPr>
          <w:rFonts w:ascii="Arial" w:hAnsi="Arial" w:cs="Arial"/>
          <w:color w:val="40403D"/>
          <w:sz w:val="21"/>
          <w:szCs w:val="21"/>
        </w:rPr>
        <w:t>A GYOD folyósításának időtartama szolgálati időre jogosít, ezért az ellátásban részesülő személy – kivéve a nyugdíjjárulék fizetésére nem kötelezett személyt - az ellátás után nyugdíjjárulék vagy magán-nyugdíjpénztári tagság esetén tagdíj fizetésére kötelezett.</w:t>
      </w:r>
    </w:p>
    <w:p w:rsidR="002F237C" w:rsidRDefault="002F237C">
      <w:bookmarkStart w:id="0" w:name="_GoBack"/>
      <w:bookmarkEnd w:id="0"/>
    </w:p>
    <w:sectPr w:rsidR="002F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FB2"/>
    <w:multiLevelType w:val="multilevel"/>
    <w:tmpl w:val="F04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E713A"/>
    <w:multiLevelType w:val="multilevel"/>
    <w:tmpl w:val="1C9C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82764"/>
    <w:multiLevelType w:val="multilevel"/>
    <w:tmpl w:val="B9DE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95FAC"/>
    <w:multiLevelType w:val="multilevel"/>
    <w:tmpl w:val="3C38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0009B"/>
    <w:multiLevelType w:val="multilevel"/>
    <w:tmpl w:val="B006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454DA"/>
    <w:multiLevelType w:val="multilevel"/>
    <w:tmpl w:val="D4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82F56"/>
    <w:multiLevelType w:val="multilevel"/>
    <w:tmpl w:val="7A1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D2DD0"/>
    <w:multiLevelType w:val="multilevel"/>
    <w:tmpl w:val="676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F6B1A"/>
    <w:multiLevelType w:val="multilevel"/>
    <w:tmpl w:val="37D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5390F"/>
    <w:multiLevelType w:val="multilevel"/>
    <w:tmpl w:val="7DD6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D0435"/>
    <w:multiLevelType w:val="multilevel"/>
    <w:tmpl w:val="0566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64D04"/>
    <w:multiLevelType w:val="multilevel"/>
    <w:tmpl w:val="C3DC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A1746"/>
    <w:multiLevelType w:val="multilevel"/>
    <w:tmpl w:val="FC9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A1093"/>
    <w:multiLevelType w:val="multilevel"/>
    <w:tmpl w:val="1038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7C"/>
    <w:rsid w:val="000C2605"/>
    <w:rsid w:val="002F237C"/>
    <w:rsid w:val="00B91E09"/>
    <w:rsid w:val="00D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20BF-F9A4-4E3F-A686-2A67A32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F2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237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F237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F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manyhivatal.hu/hu/budapest/jarasok/bfkh-kormanyablakai" TargetMode="External"/><Relationship Id="rId5" Type="http://schemas.openxmlformats.org/officeDocument/2006/relationships/hyperlink" Target="https://www.kormanyhivatal.hu/hu/budapest/jarasok/bfkh-keruleti-hivatal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MateszalkaiBizi1</dc:creator>
  <cp:keywords/>
  <dc:description/>
  <cp:lastModifiedBy>Windows-felhasználó</cp:lastModifiedBy>
  <cp:revision>2</cp:revision>
  <dcterms:created xsi:type="dcterms:W3CDTF">2022-03-07T20:47:00Z</dcterms:created>
  <dcterms:modified xsi:type="dcterms:W3CDTF">2022-03-07T20:47:00Z</dcterms:modified>
</cp:coreProperties>
</file>